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5D3497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center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drawing>
          <wp:inline distT="0" distB="0" distL="0" distR="0">
            <wp:extent cx="638175" cy="676275"/>
            <wp:effectExtent l="0" t="0" r="9525" b="9525"/>
            <wp:docPr id="1" name="Рисунок 1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D0741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hAnsi="Times New Roman" w:eastAsia="Times New Roman" w:cs="Times New Roman"/>
          <w:sz w:val="20"/>
          <w:szCs w:val="20"/>
        </w:rPr>
      </w:pPr>
      <w:r>
        <w:rPr>
          <w:rFonts w:ascii="Times New Roman" w:hAnsi="Times New Roman" w:eastAsia="Times New Roman" w:cs="Times New Roman"/>
          <w:sz w:val="20"/>
          <w:szCs w:val="20"/>
        </w:rPr>
        <w:t>МИНИСТЕРСТВО НАУКИ И ВЫСШЕГО ОБРАЗОВАНИЯ РОССИЙСКОЙ ФЕДЕРАЦИИ</w:t>
      </w:r>
    </w:p>
    <w:p w14:paraId="7D5584F2">
      <w:pPr>
        <w:widowControl w:val="0"/>
        <w:autoSpaceDE w:val="0"/>
        <w:autoSpaceDN w:val="0"/>
        <w:adjustRightInd w:val="0"/>
        <w:spacing w:before="120" w:after="0" w:line="240" w:lineRule="auto"/>
        <w:ind w:firstLine="709"/>
        <w:jc w:val="center"/>
        <w:rPr>
          <w:rFonts w:ascii="Times New Roman" w:hAnsi="Times New Roman" w:eastAsia="Times New Roman" w:cs="Times New Roman"/>
          <w:b/>
          <w:bC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 xml:space="preserve">ФЕДЕРАЛЬНОЕ ГОСУДАРСТВЕННОЕ БЮДЖЕТНОЕ </w:t>
      </w:r>
    </w:p>
    <w:p w14:paraId="68A1D18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eastAsia="Times New Roman" w:cs="Times New Roman"/>
          <w:b/>
          <w:bC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ОБРАЗОВАТЕЛЬНОЕ УЧРЕЖДЕНИЕ ВЫСШЕГО ОБРАЗОВАНИЯ</w:t>
      </w:r>
    </w:p>
    <w:p w14:paraId="21E244F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eastAsia="Times New Roman" w:cs="Times New Roman"/>
          <w:b/>
          <w:bC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«ДОНСКОЙ ГОСУДАРСТВЕННЫЙ ТЕХНИЧЕСКИЙ УНИВЕРСИТЕТ»</w:t>
      </w:r>
    </w:p>
    <w:p w14:paraId="302DADD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(ДГТУ)</w:t>
      </w:r>
    </w:p>
    <w:p w14:paraId="5168179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eastAsia="Times New Roman" w:cs="Times New Roman"/>
          <w:b/>
          <w:sz w:val="24"/>
          <w:szCs w:val="24"/>
        </w:rPr>
      </w:pPr>
    </w:p>
    <w:p w14:paraId="1E90524C">
      <w:pPr>
        <w:widowControl w:val="0"/>
        <w:autoSpaceDE w:val="0"/>
        <w:autoSpaceDN w:val="0"/>
        <w:adjustRightInd w:val="0"/>
        <w:spacing w:after="0" w:line="200" w:lineRule="atLeast"/>
        <w:ind w:firstLine="709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</w:p>
    <w:p w14:paraId="1CAA982A">
      <w:pPr>
        <w:widowControl w:val="0"/>
        <w:autoSpaceDE w:val="0"/>
        <w:autoSpaceDN w:val="0"/>
        <w:adjustRightInd w:val="0"/>
        <w:spacing w:after="0" w:line="200" w:lineRule="atLeast"/>
        <w:ind w:firstLine="709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14:paraId="0C9D5498">
      <w:pPr>
        <w:widowControl w:val="0"/>
        <w:autoSpaceDE w:val="0"/>
        <w:autoSpaceDN w:val="0"/>
        <w:adjustRightInd w:val="0"/>
        <w:spacing w:after="0" w:line="200" w:lineRule="atLeast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  <w:r>
        <w:rPr>
          <w:rFonts w:ascii="Times New Roman" w:hAnsi="Times New Roman" w:eastAsia="Times New Roman" w:cs="Times New Roman"/>
          <w:sz w:val="24"/>
          <w:szCs w:val="24"/>
        </w:rPr>
        <w:tab/>
      </w:r>
    </w:p>
    <w:p w14:paraId="0E57C37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</w:p>
    <w:p w14:paraId="47AF298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14:paraId="479518F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Утверждены на заседании </w:t>
      </w:r>
    </w:p>
    <w:p w14:paraId="77B557D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кафедры «Бухгалтерский учет, анализ и аудит»</w:t>
      </w:r>
    </w:p>
    <w:p w14:paraId="1859213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sz w:val="24"/>
          <w:szCs w:val="24"/>
          <w:lang w:val="ru-RU"/>
        </w:rPr>
        <w:t>26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августа 202</w:t>
      </w:r>
      <w:r>
        <w:rPr>
          <w:rFonts w:hint="default" w:ascii="Times New Roman" w:hAnsi="Times New Roman" w:eastAsia="Times New Roman" w:cs="Times New Roman"/>
          <w:sz w:val="24"/>
          <w:szCs w:val="24"/>
          <w:lang w:val="ru-RU"/>
        </w:rPr>
        <w:t>4</w:t>
      </w:r>
      <w:r>
        <w:rPr>
          <w:rFonts w:ascii="Times New Roman" w:hAnsi="Times New Roman" w:eastAsia="Times New Roman" w:cs="Times New Roman"/>
          <w:sz w:val="24"/>
          <w:szCs w:val="24"/>
        </w:rPr>
        <w:t>г.</w:t>
      </w:r>
    </w:p>
    <w:p w14:paraId="070DFF9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8"/>
          <w:szCs w:val="28"/>
        </w:rPr>
      </w:pPr>
    </w:p>
    <w:p w14:paraId="7AC8A4F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8"/>
          <w:szCs w:val="28"/>
        </w:rPr>
      </w:pPr>
    </w:p>
    <w:p w14:paraId="577E0F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8"/>
          <w:szCs w:val="28"/>
        </w:rPr>
      </w:pPr>
    </w:p>
    <w:p w14:paraId="7EEE4F6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8"/>
          <w:szCs w:val="28"/>
        </w:rPr>
      </w:pPr>
    </w:p>
    <w:p w14:paraId="0FCDABB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8"/>
          <w:szCs w:val="28"/>
        </w:rPr>
      </w:pPr>
    </w:p>
    <w:p w14:paraId="0B20B3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</w:rPr>
        <w:t>Управление инвестиционными проектами</w:t>
      </w:r>
    </w:p>
    <w:p w14:paraId="788CBE1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4"/>
          <w:szCs w:val="24"/>
        </w:rPr>
      </w:pPr>
    </w:p>
    <w:p w14:paraId="618A366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</w:rPr>
        <w:t>Методические указания и задания</w:t>
      </w:r>
    </w:p>
    <w:p w14:paraId="344278B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по выполнению курсового проекта </w:t>
      </w:r>
    </w:p>
    <w:p w14:paraId="713D03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по дисциплине «Управление инвестиционными проектами»</w:t>
      </w:r>
    </w:p>
    <w:p w14:paraId="633A0D7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для обучающихся по направлению подготовки </w:t>
      </w:r>
    </w:p>
    <w:p w14:paraId="5DA5B4A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38.04.08 «Финансы и кредит»</w:t>
      </w:r>
    </w:p>
    <w:p w14:paraId="5687F58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направленность «</w:t>
      </w:r>
      <w:r>
        <w:rPr>
          <w:rFonts w:hint="default" w:ascii="Times New Roman" w:hAnsi="Times New Roman" w:eastAsia="Times New Roman"/>
          <w:sz w:val="24"/>
          <w:szCs w:val="24"/>
        </w:rPr>
        <w:t>Инвестиционное проектирование инноваций и предпринимательство</w:t>
      </w:r>
      <w:r>
        <w:rPr>
          <w:rFonts w:ascii="Times New Roman" w:hAnsi="Times New Roman" w:eastAsia="Times New Roman" w:cs="Times New Roman"/>
          <w:sz w:val="24"/>
          <w:szCs w:val="24"/>
        </w:rPr>
        <w:t>»</w:t>
      </w:r>
    </w:p>
    <w:p w14:paraId="403F621D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6CF9C13C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689FDE86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03AA72CB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1DA754AA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2DE53183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68703E42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17E6CE8E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645CB235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37A994D9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7AFEB30B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0E336BFE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11D25012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5205EEF2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7BFFECA9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4C71A289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5EC3C36C">
      <w:pPr>
        <w:spacing w:after="0" w:line="240" w:lineRule="auto"/>
        <w:rPr>
          <w:rFonts w:ascii="Times New Roman" w:hAnsi="Times New Roman" w:eastAsia="Calibri" w:cs="Times New Roman"/>
          <w:b/>
          <w:sz w:val="24"/>
          <w:szCs w:val="24"/>
        </w:rPr>
      </w:pPr>
    </w:p>
    <w:p w14:paraId="233CDEE4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61268C8A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</w:p>
    <w:p w14:paraId="108519C3">
      <w:pPr>
        <w:spacing w:after="0" w:line="240" w:lineRule="auto"/>
        <w:jc w:val="center"/>
        <w:rPr>
          <w:rFonts w:ascii="Times New Roman" w:hAnsi="Times New Roman" w:eastAsia="Calibri" w:cs="Times New Roman"/>
          <w:b/>
          <w:sz w:val="24"/>
          <w:szCs w:val="24"/>
        </w:rPr>
      </w:pPr>
      <w:r>
        <w:rPr>
          <w:rFonts w:ascii="Times New Roman" w:hAnsi="Times New Roman" w:eastAsia="Calibri" w:cs="Times New Roman"/>
          <w:b/>
          <w:sz w:val="24"/>
          <w:szCs w:val="24"/>
        </w:rPr>
        <w:t>Ростов-на-Дону</w:t>
      </w:r>
    </w:p>
    <w:p w14:paraId="01D89465">
      <w:pPr>
        <w:spacing w:after="0" w:line="240" w:lineRule="auto"/>
        <w:jc w:val="center"/>
        <w:rPr>
          <w:rFonts w:hint="default" w:ascii="Times New Roman" w:hAnsi="Times New Roman" w:eastAsia="Calibri" w:cs="Times New Roman"/>
          <w:b/>
          <w:sz w:val="24"/>
          <w:szCs w:val="24"/>
          <w:lang w:val="ru-RU"/>
        </w:rPr>
      </w:pPr>
      <w:r>
        <w:rPr>
          <w:rFonts w:ascii="Times New Roman" w:hAnsi="Times New Roman" w:eastAsia="Calibri" w:cs="Times New Roman"/>
          <w:b/>
          <w:sz w:val="24"/>
          <w:szCs w:val="24"/>
        </w:rPr>
        <w:t>202</w:t>
      </w:r>
      <w:r>
        <w:rPr>
          <w:rFonts w:hint="default" w:ascii="Times New Roman" w:hAnsi="Times New Roman" w:eastAsia="Calibri" w:cs="Times New Roman"/>
          <w:b/>
          <w:sz w:val="24"/>
          <w:szCs w:val="24"/>
          <w:lang w:val="ru-RU"/>
        </w:rPr>
        <w:t>4</w:t>
      </w:r>
    </w:p>
    <w:p w14:paraId="68D9138D"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УДК 330</w:t>
      </w:r>
    </w:p>
    <w:p w14:paraId="22F6FC55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24488B82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4F0805EB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7D8CEA58">
      <w:pPr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Управление инвестиционными проектами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методические указания по выполнению курсового проекта по дисциплине «</w:t>
      </w:r>
      <w:r>
        <w:rPr>
          <w:rFonts w:ascii="Times New Roman" w:hAnsi="Times New Roman" w:eastAsia="Times New Roman" w:cs="Times New Roman"/>
          <w:sz w:val="24"/>
          <w:szCs w:val="24"/>
        </w:rPr>
        <w:t>Управление инвестиционными проектами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» для обучающихся по направлению подготовки 38.04.08 «Финансы и кредит», направленность «</w:t>
      </w:r>
      <w:r>
        <w:rPr>
          <w:rFonts w:hint="default" w:ascii="Times New Roman" w:hAnsi="Times New Roman" w:eastAsia="Times New Roman"/>
          <w:sz w:val="24"/>
          <w:szCs w:val="24"/>
        </w:rPr>
        <w:t>Инвестиционное проектирование инноваций и предпринимательство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. - Ростов н/д: Донской государственный технический университет,</w:t>
      </w:r>
      <w:r>
        <w:rPr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202</w:t>
      </w:r>
      <w:r>
        <w:rPr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4.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- </w:t>
      </w:r>
      <w:r>
        <w:rPr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19</w:t>
      </w:r>
      <w:bookmarkStart w:id="0" w:name="_GoBack"/>
      <w:bookmarkEnd w:id="0"/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стр. </w:t>
      </w:r>
    </w:p>
    <w:p w14:paraId="3550BDA2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143CD5E1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43D06D29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14C86FAB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Методические указания</w:t>
      </w:r>
      <w:r>
        <w:rPr>
          <w:rFonts w:ascii="Times New Roman" w:hAnsi="Times New Roman" w:eastAsia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по выполнению курсового проекта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определяют объем, состав и последовательность выполнения практических заданий и ориентированы на использование в учебном процессе преподавателями и обучающимися ДГТУ. Содержание соответствует программе дисциплины «</w:t>
      </w:r>
      <w:r>
        <w:rPr>
          <w:rFonts w:ascii="Times New Roman" w:hAnsi="Times New Roman" w:eastAsia="Times New Roman" w:cs="Times New Roman"/>
          <w:sz w:val="24"/>
          <w:szCs w:val="24"/>
        </w:rPr>
        <w:t>Управление инвестиционными проектами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». Соответствует Федеральному государственному образовательному стандарту высшего образования.</w:t>
      </w:r>
    </w:p>
    <w:p w14:paraId="709FB67B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Практические задания по дисциплине «</w:t>
      </w:r>
      <w:r>
        <w:rPr>
          <w:rFonts w:ascii="Times New Roman" w:hAnsi="Times New Roman" w:eastAsia="Times New Roman" w:cs="Times New Roman"/>
          <w:sz w:val="24"/>
          <w:szCs w:val="24"/>
        </w:rPr>
        <w:t>Управление инвестиционными проектами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» подготовлены с целью более глубокого освоения обучающимися вопросов сущности, и содержания актуарных расчетов и страхового дела путем выполнения заданий, позволяющих закрепить полученные теоретические знания. Поэтапное выполнение заданий позволит сформировать профессиональные компетенции и подготовиться к промежуточной аттестации. </w:t>
      </w:r>
    </w:p>
    <w:p w14:paraId="237720DA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Предназначены для обучающихся заочной и очной формы обучения по направлению подготовки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38.04.08 «Финансы и кредит», направленность «</w:t>
      </w:r>
      <w:r>
        <w:rPr>
          <w:rFonts w:hint="default" w:ascii="Times New Roman" w:hAnsi="Times New Roman" w:eastAsia="Times New Roman"/>
          <w:sz w:val="24"/>
          <w:szCs w:val="24"/>
        </w:rPr>
        <w:t>Инвестиционное проектирование инноваций и предпринимательство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. </w:t>
      </w:r>
    </w:p>
    <w:p w14:paraId="528E5D84">
      <w:pPr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Электронная версия методических указаний находится ЭБС в ДГТУ.</w:t>
      </w:r>
    </w:p>
    <w:p w14:paraId="18D0A469">
      <w:pPr>
        <w:spacing w:after="0" w:line="240" w:lineRule="auto"/>
        <w:ind w:firstLine="567"/>
        <w:jc w:val="both"/>
        <w:rPr>
          <w:rFonts w:ascii="Times New Roman" w:hAnsi="Times New Roman" w:eastAsia="Times New Roman" w:cs="Times New Roman"/>
          <w:color w:val="FF0000"/>
          <w:sz w:val="24"/>
          <w:szCs w:val="24"/>
          <w:lang w:eastAsia="ru-RU"/>
        </w:rPr>
      </w:pPr>
    </w:p>
    <w:p w14:paraId="472596A9">
      <w:pPr>
        <w:spacing w:after="0" w:line="240" w:lineRule="auto"/>
        <w:jc w:val="right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УДК 330 </w:t>
      </w:r>
    </w:p>
    <w:p w14:paraId="67888A14"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          </w:t>
      </w:r>
    </w:p>
    <w:p w14:paraId="48343532">
      <w:pPr>
        <w:spacing w:after="0" w:line="240" w:lineRule="auto"/>
        <w:ind w:left="396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336C9FA6">
      <w:pPr>
        <w:spacing w:after="0" w:line="240" w:lineRule="auto"/>
        <w:ind w:left="396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0E1BFF1E">
      <w:pPr>
        <w:spacing w:after="0" w:line="240" w:lineRule="auto"/>
        <w:ind w:left="396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          Составитель:  </w:t>
      </w:r>
    </w:p>
    <w:p w14:paraId="24E79BC3">
      <w:pPr>
        <w:spacing w:after="0" w:line="240" w:lineRule="auto"/>
        <w:ind w:left="396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канд.  экон. наук, доцент Н.А.Ковалева</w:t>
      </w:r>
    </w:p>
    <w:p w14:paraId="6A2D6C05">
      <w:pPr>
        <w:spacing w:after="0" w:line="240" w:lineRule="auto"/>
        <w:ind w:left="396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    </w:t>
      </w:r>
    </w:p>
    <w:p w14:paraId="1B5EE166">
      <w:pPr>
        <w:spacing w:after="0" w:line="240" w:lineRule="auto"/>
        <w:ind w:left="396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</w:t>
      </w:r>
    </w:p>
    <w:p w14:paraId="4C6782BF">
      <w:pPr>
        <w:spacing w:after="0" w:line="240" w:lineRule="auto"/>
        <w:jc w:val="center"/>
        <w:rPr>
          <w:rFonts w:ascii="Times New Roman" w:hAnsi="Times New Roman" w:eastAsia="Times New Roman" w:cs="Times New Roman"/>
          <w:color w:val="FF0000"/>
          <w:sz w:val="24"/>
          <w:szCs w:val="24"/>
          <w:lang w:eastAsia="ru-RU"/>
        </w:rPr>
      </w:pPr>
    </w:p>
    <w:p w14:paraId="09CBA33C">
      <w:pPr>
        <w:spacing w:after="0" w:line="240" w:lineRule="auto"/>
        <w:jc w:val="both"/>
        <w:rPr>
          <w:rFonts w:ascii="Times New Roman" w:hAnsi="Times New Roman" w:eastAsia="Times New Roman" w:cs="Times New Roman"/>
          <w:color w:val="FF0000"/>
          <w:sz w:val="24"/>
          <w:szCs w:val="24"/>
          <w:lang w:eastAsia="ru-RU"/>
        </w:rPr>
      </w:pPr>
    </w:p>
    <w:p w14:paraId="45441F15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Редактор в авторской правке</w:t>
      </w:r>
    </w:p>
    <w:p w14:paraId="329B0EEE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Темплан 20___ г., поз. _____</w:t>
      </w:r>
    </w:p>
    <w:p w14:paraId="179975B2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</w:p>
    <w:p w14:paraId="5B442252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Подписано в печать ___.___.___ Формат 60х84/16. Бумага писчая. Ризограф. </w:t>
      </w:r>
    </w:p>
    <w:p w14:paraId="1E924F4D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Уч.-изд.л. _,_. Тираж __ экз. Заказ</w:t>
      </w:r>
    </w:p>
    <w:p w14:paraId="476A1C44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  <w:r>
        <w:rPr>
          <w:rFonts w:ascii="Times New Roman" w:hAnsi="Times New Roman" w:eastAsia="Times New Roman" w:cs="Times New Roman"/>
          <w:sz w:val="24"/>
          <w:szCs w:val="24"/>
          <w:u w:val="single"/>
          <w:vertAlign w:val="superscript"/>
          <w:lang w:eastAsia="ru-RU"/>
        </w:rPr>
        <w:tab/>
      </w:r>
    </w:p>
    <w:p w14:paraId="08DDB1A1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Редакционно-издательский отдел</w:t>
      </w:r>
    </w:p>
    <w:p w14:paraId="2547A7DC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Донского. государственного технического университета</w:t>
      </w:r>
    </w:p>
    <w:p w14:paraId="470E032C">
      <w:pPr>
        <w:spacing w:after="0" w:line="240" w:lineRule="auto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344022, Ростов-на-Дону, ул. Социалистическая, 162.</w:t>
      </w:r>
    </w:p>
    <w:p w14:paraId="2D483192">
      <w:pPr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                                 </w:t>
      </w:r>
    </w:p>
    <w:p w14:paraId="0B21BF11">
      <w:pPr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28DB3881">
      <w:pPr>
        <w:spacing w:after="0" w:line="240" w:lineRule="auto"/>
        <w:jc w:val="right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Донской государственный </w:t>
      </w:r>
    </w:p>
    <w:p w14:paraId="26069713">
      <w:pPr>
        <w:spacing w:after="0" w:line="240" w:lineRule="auto"/>
        <w:jc w:val="right"/>
        <w:rPr>
          <w:rFonts w:ascii="Times New Roman" w:hAnsi="Times New Roman" w:eastAsia="Times New Roman" w:cs="Times New Roman"/>
          <w:color w:val="FF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технический университет,202</w:t>
      </w:r>
      <w:r>
        <w:rPr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4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г</w:t>
      </w:r>
    </w:p>
    <w:p w14:paraId="67B3123E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C764EDC">
      <w:pPr>
        <w:ind w:firstLine="709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Методические рекомендации по выполнению и оформлению курсового проекта</w:t>
      </w:r>
    </w:p>
    <w:p w14:paraId="0F7FAD7D">
      <w:pPr>
        <w:spacing w:after="0"/>
        <w:ind w:firstLine="709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 xml:space="preserve">Курсовой проект – это один из основных видов самостоятельной работы обучающихся и важный этап их профессиональной подготовки. Основными целями выполнения курсового проекта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курсового проекта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выбранную тему. </w:t>
      </w:r>
    </w:p>
    <w:p w14:paraId="65EEBB60">
      <w:pPr>
        <w:spacing w:after="0"/>
        <w:ind w:firstLine="709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Обучающиеся заочной и очной формы обучения выполняют по курсу «</w:t>
      </w:r>
      <w:r>
        <w:rPr>
          <w:rFonts w:ascii="Times New Roman" w:hAnsi="Times New Roman" w:eastAsia="Times New Roman" w:cs="Times New Roman"/>
          <w:sz w:val="28"/>
          <w:szCs w:val="28"/>
        </w:rPr>
        <w:t>Управление инвестиционными проектами</w:t>
      </w:r>
      <w:r>
        <w:rPr>
          <w:rFonts w:ascii="Times New Roman" w:hAnsi="Times New Roman" w:eastAsia="Calibri" w:cs="Times New Roman"/>
          <w:sz w:val="28"/>
          <w:szCs w:val="28"/>
        </w:rPr>
        <w:t xml:space="preserve">» курсовой проект. </w:t>
      </w:r>
    </w:p>
    <w:p w14:paraId="0739D442">
      <w:pPr>
        <w:tabs>
          <w:tab w:val="left" w:pos="-142"/>
        </w:tabs>
        <w:spacing w:after="0"/>
        <w:ind w:firstLine="709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Цель проекта состоит в развитии у обучающихся навыков исследовательской и прикладной работы в команде по созданию уникального  результата (методики, базы данных, инструментария для измерений и  анализа социально-экономических явлений и т.д.), а также в обеспечении  благоприятных условий для приобретения профессиональных компетенций при реализации проектов. Проект связан с подготовкой обучающимися ВКР (МД) или ее фрагментов и обсуждением результатов исследований на практических занятиях.</w:t>
      </w:r>
    </w:p>
    <w:p w14:paraId="435B37CB">
      <w:pPr>
        <w:tabs>
          <w:tab w:val="left" w:pos="-142"/>
        </w:tabs>
        <w:spacing w:after="0"/>
        <w:ind w:firstLine="709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 xml:space="preserve">Обучающиеся выбирают самостоятельно темы проектов с учетом мнения академического руководителя программы, руководителя проекта и руководителя ВКР (МД). Темы должны быть связаны с направленностью образовательной программы. Проекты могут быть исследовательского типа и </w:t>
      </w:r>
    </w:p>
    <w:p w14:paraId="528F5C6B">
      <w:pPr>
        <w:tabs>
          <w:tab w:val="left" w:pos="-142"/>
        </w:tabs>
        <w:spacing w:after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прикладного.</w:t>
      </w:r>
    </w:p>
    <w:p w14:paraId="7330D559">
      <w:pPr>
        <w:tabs>
          <w:tab w:val="left" w:pos="-142"/>
        </w:tabs>
        <w:spacing w:after="0"/>
        <w:ind w:firstLine="709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При подготовке курсового проекта студенту необходимо обратить внимание на:</w:t>
      </w:r>
    </w:p>
    <w:p w14:paraId="70348100">
      <w:pPr>
        <w:pStyle w:val="18"/>
        <w:numPr>
          <w:ilvl w:val="0"/>
          <w:numId w:val="2"/>
        </w:numPr>
        <w:tabs>
          <w:tab w:val="left" w:pos="-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степень раскрытия сущности проблемы (соответствие содержания теме; полнота и глубина раскрытия основных понятий проблемы; умение работать с литературой, систематизировать и структурировать материал; умение обобщать, сопоставлять различные точки зрения по рассматриваемому вопросу, аргументировать основные положения и выводы, </w:t>
      </w:r>
      <w:r>
        <w:rPr>
          <w:rFonts w:ascii="Times New Roman" w:hAnsi="Times New Roman" w:eastAsia="TimesNewRoman" w:cs="Times New Roman"/>
          <w:sz w:val="28"/>
          <w:szCs w:val="28"/>
        </w:rPr>
        <w:t>обобщающие авторскую позицию по поставленной проблеме);</w:t>
      </w:r>
    </w:p>
    <w:p w14:paraId="7D94816B">
      <w:pPr>
        <w:pStyle w:val="18"/>
        <w:numPr>
          <w:ilvl w:val="0"/>
          <w:numId w:val="2"/>
        </w:numPr>
        <w:tabs>
          <w:tab w:val="left" w:pos="-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соблюдение требований по оформлению (правильное оформление текста, ссылок на используемые литературные источники; соблюдение требований к объему;  грамотность и культура изложения);</w:t>
      </w:r>
    </w:p>
    <w:p w14:paraId="2A049D43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Прежде чем приступить к написанию работы, необходимо подобрать соответствующую литературу, первоисточники. При этом рекомендовано изучить современные источники, «не старше» пяти лет.</w:t>
      </w:r>
    </w:p>
    <w:p w14:paraId="5165E83A">
      <w:pPr>
        <w:ind w:firstLine="709"/>
        <w:jc w:val="both"/>
        <w:rPr>
          <w:rFonts w:ascii="Times New Roman" w:hAnsi="Times New Roman" w:eastAsia="Calibri" w:cs="Times New Roman"/>
          <w:b/>
          <w:bCs/>
          <w:sz w:val="28"/>
          <w:szCs w:val="28"/>
        </w:rPr>
      </w:pPr>
      <w:r>
        <w:rPr>
          <w:rFonts w:ascii="Times New Roman" w:hAnsi="Times New Roman" w:eastAsia="Calibri" w:cs="Times New Roman"/>
          <w:b/>
          <w:bCs/>
          <w:sz w:val="28"/>
          <w:szCs w:val="28"/>
        </w:rPr>
        <w:t>Обучающимся при подготовке курсового проекта необходимо пользоваться Правилами ДГТУ «Правила оформления письменных работ обучающихся гуманитарных направлений подготовки» №242 от 16.12.2020г.</w:t>
      </w:r>
    </w:p>
    <w:p w14:paraId="0D9C8116">
      <w:pPr>
        <w:ind w:firstLine="709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 xml:space="preserve">Курсовой проект, выполненный не полностью или не отвечающий предъявляемым требованиям, возвращается без проверки и не засчитывается. </w:t>
      </w:r>
    </w:p>
    <w:p w14:paraId="209757B8">
      <w:pPr>
        <w:ind w:firstLine="709"/>
        <w:jc w:val="both"/>
        <w:rPr>
          <w:rFonts w:ascii="Times New Roman" w:hAnsi="Times New Roman" w:eastAsia="Calibri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курсовому проекту проводится устный опрос (зачет курсового проекта), после которого обучающийся приступает к сдаче промежуточной аттестации в форме экзамена. </w:t>
      </w:r>
    </w:p>
    <w:p w14:paraId="16B0A213">
      <w:pPr>
        <w:keepNext w:val="0"/>
        <w:keepLines w:val="0"/>
        <w:widowControl/>
        <w:suppressLineNumbers w:val="0"/>
        <w:ind w:left="0" w:leftChars="0" w:firstLine="663" w:firstLineChars="236"/>
        <w:jc w:val="both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Цель 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ru-RU" w:eastAsia="zh-CN" w:bidi="ar"/>
        </w:rPr>
        <w:t>курсового проекта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– формирование профессиональных знаний и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управленческих компетенций магистров по оценке эффективности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инвестиционных проектов и принятии управленческих решений. </w:t>
      </w:r>
    </w:p>
    <w:p w14:paraId="43E95234">
      <w:pPr>
        <w:keepNext w:val="0"/>
        <w:keepLines w:val="0"/>
        <w:widowControl/>
        <w:suppressLineNumbers w:val="0"/>
        <w:jc w:val="both"/>
        <w:rPr>
          <w:rFonts w:hint="default"/>
          <w:lang w:val="ru-RU"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>Задачи к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ru-RU" w:eastAsia="zh-CN" w:bidi="ar"/>
        </w:rPr>
        <w:t>урсового проекта:</w:t>
      </w:r>
    </w:p>
    <w:p w14:paraId="24BF9111">
      <w:pPr>
        <w:keepNext w:val="0"/>
        <w:keepLines w:val="0"/>
        <w:widowControl/>
        <w:suppressLineNumbers w:val="0"/>
        <w:jc w:val="both"/>
      </w:pPr>
      <w:r>
        <w:rPr>
          <w:rFonts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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изучение теоретического аспекта оценки эффективности проектов предприятия; </w:t>
      </w:r>
    </w:p>
    <w:p w14:paraId="7A607DC5">
      <w:pPr>
        <w:keepNext w:val="0"/>
        <w:keepLines w:val="0"/>
        <w:widowControl/>
        <w:suppressLineNumbers w:val="0"/>
        <w:jc w:val="both"/>
      </w:pPr>
      <w:r>
        <w:rPr>
          <w:rFonts w:hint="default"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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проведение оценки проектов в инвестиционной компании АО "ИК "АЙ ТИ ИНВЕСТ» и осуществление выбора наиболее эффективного проекта; </w:t>
      </w:r>
    </w:p>
    <w:p w14:paraId="792571E8">
      <w:pPr>
        <w:keepNext w:val="0"/>
        <w:keepLines w:val="0"/>
        <w:widowControl/>
        <w:suppressLineNumbers w:val="0"/>
        <w:jc w:val="both"/>
      </w:pPr>
      <w:r>
        <w:rPr>
          <w:rFonts w:hint="default"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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формирование направлений и методов повышения эффективности инвестиций в проект; </w:t>
      </w:r>
    </w:p>
    <w:p w14:paraId="0A440D29">
      <w:pPr>
        <w:keepNext w:val="0"/>
        <w:keepLines w:val="0"/>
        <w:widowControl/>
        <w:suppressLineNumbers w:val="0"/>
        <w:jc w:val="both"/>
      </w:pPr>
      <w:r>
        <w:rPr>
          <w:rFonts w:hint="default"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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выявление возможных рисков инвестиционных проектов и способов управления рисками.</w:t>
      </w:r>
    </w:p>
    <w:p w14:paraId="6BFFF39A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eastAsia="Calibri" w:cs="Times New Roman"/>
          <w:b/>
          <w:sz w:val="28"/>
          <w:szCs w:val="28"/>
        </w:rPr>
      </w:pPr>
    </w:p>
    <w:p w14:paraId="125B0890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rPr>
          <w:rFonts w:hint="default" w:ascii="Times New Roman" w:hAnsi="Times New Roman" w:eastAsia="Calibri" w:cs="Times New Roman"/>
          <w:b/>
          <w:sz w:val="32"/>
          <w:szCs w:val="32"/>
          <w:lang w:val="ru-RU"/>
        </w:rPr>
      </w:pPr>
      <w:r>
        <w:rPr>
          <w:rFonts w:ascii="Times New Roman" w:hAnsi="Times New Roman" w:eastAsia="Calibri" w:cs="Times New Roman"/>
          <w:b/>
          <w:sz w:val="32"/>
          <w:szCs w:val="32"/>
          <w:lang w:val="ru-RU"/>
        </w:rPr>
        <w:t>Структура</w:t>
      </w:r>
      <w:r>
        <w:rPr>
          <w:rFonts w:hint="default" w:ascii="Times New Roman" w:hAnsi="Times New Roman" w:eastAsia="Calibri" w:cs="Times New Roman"/>
          <w:b/>
          <w:sz w:val="32"/>
          <w:szCs w:val="32"/>
          <w:lang w:val="ru-RU"/>
        </w:rPr>
        <w:t xml:space="preserve"> курсового проекта:</w:t>
      </w:r>
    </w:p>
    <w:p w14:paraId="5D86F904">
      <w:pPr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hint="default" w:ascii="Times New Roman" w:hAnsi="Times New Roman" w:eastAsia="Calibri" w:cs="Times New Roman"/>
          <w:b w:val="0"/>
          <w:bCs/>
          <w:sz w:val="32"/>
          <w:szCs w:val="32"/>
          <w:lang w:val="ru-RU"/>
        </w:rPr>
      </w:pPr>
      <w:r>
        <w:rPr>
          <w:rFonts w:hint="default" w:ascii="Times New Roman" w:hAnsi="Times New Roman" w:eastAsia="Calibri" w:cs="Times New Roman"/>
          <w:b w:val="0"/>
          <w:bCs/>
          <w:sz w:val="32"/>
          <w:szCs w:val="32"/>
          <w:lang w:val="ru-RU"/>
        </w:rPr>
        <w:t>Развернутый ответ  на предложенные ниже вопросы (последняя цифра зачетной книжки = номер варианта).</w:t>
      </w:r>
    </w:p>
    <w:p w14:paraId="54BC0F74">
      <w:pPr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hint="default" w:ascii="Times New Roman" w:hAnsi="Times New Roman" w:eastAsia="Calibri" w:cs="Times New Roman"/>
          <w:b w:val="0"/>
          <w:bCs/>
          <w:sz w:val="32"/>
          <w:szCs w:val="32"/>
          <w:lang w:val="ru-RU"/>
        </w:rPr>
      </w:pPr>
      <w:r>
        <w:rPr>
          <w:rFonts w:hint="default" w:ascii="Times New Roman" w:hAnsi="Times New Roman" w:eastAsia="Calibri" w:cs="Times New Roman"/>
          <w:b w:val="0"/>
          <w:bCs/>
          <w:sz w:val="32"/>
          <w:szCs w:val="32"/>
          <w:lang w:val="ru-RU"/>
        </w:rPr>
        <w:t>Выполнение расчетного задания.</w:t>
      </w:r>
    </w:p>
    <w:p w14:paraId="1D5E8F6C">
      <w:pPr>
        <w:widowControl w:val="0"/>
        <w:spacing w:after="0" w:line="240" w:lineRule="auto"/>
        <w:ind w:firstLine="709"/>
        <w:jc w:val="both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32DA6853">
      <w:pPr>
        <w:widowControl w:val="0"/>
        <w:spacing w:after="0" w:line="240" w:lineRule="auto"/>
        <w:ind w:firstLine="709"/>
        <w:jc w:val="both"/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</w:pPr>
      <w:r>
        <w:rPr>
          <w:rFonts w:ascii="Times New Roman" w:hAnsi="Times New Roman" w:eastAsia="Calibri" w:cs="Times New Roman"/>
          <w:b/>
          <w:sz w:val="28"/>
          <w:szCs w:val="28"/>
          <w:lang w:val="ru-RU"/>
        </w:rPr>
        <w:t>Тематика</w:t>
      </w:r>
      <w:r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  <w:t xml:space="preserve"> вопросов для развернутых ответов (по вариантам)</w:t>
      </w:r>
    </w:p>
    <w:p w14:paraId="022D05D5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1.Нормативно – правовое регулирование и организационное обеспечение инвестиционной деятельности.</w:t>
      </w:r>
    </w:p>
    <w:p w14:paraId="3344EB19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2.Общая характеристика методов оценки эффективности инвестиционного проекта.</w:t>
      </w:r>
    </w:p>
    <w:p w14:paraId="455C0F36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3.Анализ цены собственных и заемных источников.</w:t>
      </w:r>
    </w:p>
    <w:p w14:paraId="75AE566D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4.Цель и задачи инвестиционного анализа.</w:t>
      </w:r>
    </w:p>
    <w:p w14:paraId="07E98F06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 xml:space="preserve">5.Методы анализа экономической эффективности инвестиций, основанные на дисконтированных оценках. </w:t>
      </w:r>
    </w:p>
    <w:p w14:paraId="14D700F8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6.Методы анализа эффективности инвестиций, основанные на учетных оценках.</w:t>
      </w:r>
    </w:p>
    <w:p w14:paraId="754A2F20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7.Анализ инвестиционных проектов в условиях риска.</w:t>
      </w:r>
    </w:p>
    <w:p w14:paraId="3A5F98A1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8.Этапы жизненного цикла инвестиционного проекта.</w:t>
      </w:r>
    </w:p>
    <w:p w14:paraId="44DCE4BC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9.Взвешанная и предельная цена капитала.</w:t>
      </w:r>
    </w:p>
    <w:p w14:paraId="137CE949">
      <w:pPr>
        <w:widowControl w:val="0"/>
        <w:spacing w:after="0" w:line="240" w:lineRule="auto"/>
        <w:ind w:left="0" w:leftChars="0" w:firstLine="0" w:firstLineChars="0"/>
        <w:jc w:val="both"/>
        <w:rPr>
          <w:rFonts w:ascii="Times New Roman" w:hAnsi="Times New Roman" w:eastAsia="Calibri" w:cs="Times New Roman"/>
          <w:b/>
          <w:sz w:val="28"/>
          <w:szCs w:val="28"/>
        </w:rPr>
      </w:pPr>
      <w:r>
        <w:rPr>
          <w:rFonts w:ascii="Times New Roman" w:hAnsi="Times New Roman" w:eastAsia="Calibri" w:cs="Times New Roman"/>
          <w:sz w:val="28"/>
          <w:szCs w:val="28"/>
        </w:rPr>
        <w:t>10 Подходы к содержанию понятия «инвестиционная привлекательность организации».</w:t>
      </w:r>
    </w:p>
    <w:p w14:paraId="181121D5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7280924C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</w:pPr>
      <w:r>
        <w:rPr>
          <w:rFonts w:ascii="Times New Roman" w:hAnsi="Times New Roman" w:eastAsia="Calibri" w:cs="Times New Roman"/>
          <w:b/>
          <w:sz w:val="28"/>
          <w:szCs w:val="28"/>
          <w:lang w:val="ru-RU"/>
        </w:rPr>
        <w:t>Условие</w:t>
      </w:r>
      <w:r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  <w:t xml:space="preserve"> расчетного задания</w:t>
      </w:r>
    </w:p>
    <w:p w14:paraId="69B9F4C0">
      <w:pPr>
        <w:keepNext w:val="0"/>
        <w:keepLines w:val="0"/>
        <w:widowControl/>
        <w:suppressLineNumbers w:val="0"/>
        <w:jc w:val="center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>Оценка проектов в инвестиционной компании АО «ИК «АЙ ТИ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ИНВЕСТ» </w:t>
      </w:r>
    </w:p>
    <w:p w14:paraId="0C67E5F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658" w:firstLineChars="235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Оценку эффективности проектов рассмотрим на примере АО «Инвестиционная Компания «Ай Ти Инвест» (Далее - АО «ИК «Ай Ти Инвест»). В Приложении А представлена карточка компании. Компания «ИК «Ай Ти Инвест» основана в 2000 году и с самого начала позиционировала себя как брокера для профессионалов, делала ставку на собственное программное обеспечение (ПО), которое позволяет ее клиентам осуществлять значительные, при этом обеспечивает стабильность и скорость работы. Компания отличает добросовестность, она не проводит собственные операции для предотвращения даже гипотетически возможного конфликта интересов с клиентскими операциями на рынке. Это позволяет клиентам быть более уверенными в надежности и стабильности брокера. В целом компания нацелена на инновационное развитие, а, следовательно, ежегодно реализует инвестиционные проекты. </w:t>
      </w:r>
    </w:p>
    <w:p w14:paraId="7A7E2C6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658" w:firstLineChars="235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Для того, чтобы узнать эффективность проектов в деятельности инвестиционной компании АО "ИК "АЙ ТИ ИНВЕСТ" необходимо проводить их оценку. Для этого следует рассчитать следующие показатели: </w:t>
      </w:r>
    </w:p>
    <w:p w14:paraId="465A6AF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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дисконтированный срок окупаемости (Pay-BackPeriod, PBP); </w:t>
      </w:r>
    </w:p>
    <w:p w14:paraId="46ACA28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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чистый дисконтированный доход (NetPresentValue, NPV); </w:t>
      </w:r>
    </w:p>
    <w:p w14:paraId="0E4FD498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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индекс доходности; </w:t>
      </w:r>
    </w:p>
    <w:p w14:paraId="10ECD00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Symbol" w:hAnsi="Symbol" w:eastAsia="SimSun" w:cs="Symbol"/>
          <w:color w:val="000000"/>
          <w:kern w:val="0"/>
          <w:sz w:val="28"/>
          <w:szCs w:val="28"/>
          <w:lang w:val="en-US" w:eastAsia="zh-CN" w:bidi="ar"/>
        </w:rPr>
        <w:t xml:space="preserve">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внутренняя норма рентабельности (Internal Rate of Return, IRR). </w:t>
      </w:r>
    </w:p>
    <w:p w14:paraId="03FD105F">
      <w:pPr>
        <w:keepNext w:val="0"/>
        <w:keepLines w:val="0"/>
        <w:widowControl/>
        <w:suppressLineNumbers w:val="0"/>
        <w:ind w:left="0" w:leftChars="0" w:firstLine="658" w:firstLineChars="235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Это минимальное количество показателей, которые должны рассчитываться инвесторами для принятия решения инвестирования. Для того чтобы провести расчет в полной его мере следует придерживаться следующих правил: </w:t>
      </w:r>
    </w:p>
    <w:p w14:paraId="05BD0A20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1) Рассмотреть и проанализировать проект по всем этап его жизненного цикла, начиная от этапа прединвестиционного и заканчивая завершением проекта.</w:t>
      </w:r>
      <w:r>
        <w:rPr>
          <w:rFonts w:ascii="Calibri" w:hAnsi="Calibri" w:eastAsia="SimSun" w:cs="Calibri"/>
          <w:color w:val="000000"/>
          <w:kern w:val="0"/>
          <w:sz w:val="22"/>
          <w:szCs w:val="22"/>
          <w:lang w:val="en-US" w:eastAsia="zh-CN" w:bidi="ar"/>
        </w:rPr>
        <w:t xml:space="preserve"> </w:t>
      </w:r>
    </w:p>
    <w:p w14:paraId="24B141D7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2) Обосновать прогноз финансовых потоков для всего расчетного периода. </w:t>
      </w:r>
    </w:p>
    <w:p w14:paraId="402E244A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3) Сопоставить условия сравнения разных проектов для выбора оптимального решения. </w:t>
      </w:r>
    </w:p>
    <w:p w14:paraId="5043015E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4) Добиться максимального положительного эффекта от реализации проекта. </w:t>
      </w:r>
    </w:p>
    <w:p w14:paraId="59846E31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5) Учитывать временные факторы. </w:t>
      </w:r>
    </w:p>
    <w:p w14:paraId="0D370BC4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6) Учитывать будущие финансовые затраты и поступления. </w:t>
      </w:r>
    </w:p>
    <w:p w14:paraId="0F3AD5EB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7) Учитывать самые существенные последствия от реализации проекта. </w:t>
      </w:r>
    </w:p>
    <w:p w14:paraId="598F42CA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8) Оценивать возможное влияние инфляции. </w:t>
      </w:r>
    </w:p>
    <w:p w14:paraId="439C85B2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9) Оценивать влияние рисков реализации. </w:t>
      </w:r>
    </w:p>
    <w:p w14:paraId="03569702">
      <w:pPr>
        <w:keepNext w:val="0"/>
        <w:keepLines w:val="0"/>
        <w:widowControl/>
        <w:suppressLineNumbers w:val="0"/>
        <w:ind w:left="0" w:leftChars="0" w:firstLine="658" w:firstLineChars="235"/>
        <w:jc w:val="both"/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Далее к оценке предлагаются два проекта. Даже если оба проекта кажутся эффективными в связи с ограниченностью ресурсов компании, необходимо принять решение о реализации одного проекта. Поэтому проекты рассматриваются как альтернативные. Необходимо провести оценку двух рассмотренных проектов и выбрать наиболее эффективный. </w:t>
      </w:r>
    </w:p>
    <w:p w14:paraId="2050B463">
      <w:pPr>
        <w:keepNext w:val="0"/>
        <w:keepLines w:val="0"/>
        <w:widowControl/>
        <w:suppressLineNumbers w:val="0"/>
        <w:ind w:left="0" w:leftChars="0" w:firstLine="661" w:firstLineChars="235"/>
        <w:jc w:val="both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Проект № 1.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Дистанционное открытие счета через Единую систему межведомственного электронного взаимодействия (СМЭВ). СМЭВ - это федеральная государственная информационная система, предназначенная для организации информационного взаимодействия между информационными системами участников СМЭВ в целях предоставления государственных и муниципальных услуг и исполнения государственных и муниципальных функций в электронной форме. Участниками межведомственного электронного взаимодействия (участниками СМЭВ) являются федеральные органы исполнительной власти, государственные внебюджетных фонды, исполнительные органы государственной власти субъектов Российской Федерации, органы местного самоуправления, государственные и муниципальные учреждения, многофункциональные центры, иные органы и организации.</w:t>
      </w:r>
    </w:p>
    <w:p w14:paraId="2BAA5CD4">
      <w:pPr>
        <w:keepNext w:val="0"/>
        <w:keepLines w:val="0"/>
        <w:widowControl/>
        <w:suppressLineNumbers w:val="0"/>
        <w:ind w:left="0" w:leftChars="0" w:firstLine="658" w:firstLineChars="235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Целью проекта является предоставление клиентам возможности дистанционного открытия счета в АО "ИК "АЙ ТИ ИНВЕСТ" через СМЭВ". </w:t>
      </w:r>
    </w:p>
    <w:p w14:paraId="7D96B8EC">
      <w:pPr>
        <w:keepNext w:val="0"/>
        <w:keepLines w:val="0"/>
        <w:widowControl/>
        <w:suppressLineNumbers w:val="0"/>
        <w:ind w:left="0" w:leftChars="0" w:firstLine="658" w:firstLineChars="235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Сущность проекта состоит в следующем, клиенты компании смогут дистанционно зарегистрировать как обычный брокерский счет, так и ИИС. Для открытия счета не требуется наличие личного кабинета на Госуслугах и электронная цифровая подпись, система Единого сервиса самостоятельно проверяет данные клиента. Для открытия брокерского счета через СМЭФ клиенту будет необходимо: </w:t>
      </w:r>
    </w:p>
    <w:p w14:paraId="4227FD7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1) Оставить заявку на сайте компании, заполнив паспортные данные, а также номер ИНН, либо СНИЛС; </w:t>
      </w:r>
    </w:p>
    <w:p w14:paraId="7509468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2) Дождаться ответа от системы СМЭВ на электронную почту. В случае одобрения заявки, в письме будет сформирована ссылка на продолжение процедуры открытия счета; </w:t>
      </w:r>
    </w:p>
    <w:p w14:paraId="0CC87E7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3) Перейти по полученной в письме ссылке на сайт www.itinvest.ru, где необходимо заполнить дату, место рождения и адрес регистрации; </w:t>
      </w:r>
    </w:p>
    <w:p w14:paraId="07B5602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4) Подписать сформированные документы через смс-код. </w:t>
      </w:r>
    </w:p>
    <w:p w14:paraId="13F1523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После завершения процедуры открытия счета клиенту будет направлено email-письмо с доступом в web-кабинет и ознакомительной инструкцией. </w:t>
      </w:r>
    </w:p>
    <w:p w14:paraId="0E89E3F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p w14:paraId="763C390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Данные для расчетов: </w:t>
      </w:r>
    </w:p>
    <w:p w14:paraId="7766CEC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Размер первоначальных инвестиций в проект составляет 11 200 тыс. руб. </w:t>
      </w:r>
    </w:p>
    <w:p w14:paraId="6C9CE8C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Горизонт расчета - 3 года. </w:t>
      </w:r>
    </w:p>
    <w:p w14:paraId="14DEF64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Минимальный желаемый уровень доходности - 15%. </w:t>
      </w:r>
    </w:p>
    <w:p w14:paraId="067B2F9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Определите самостоятельно ставку дисконтирования по формуле 1. </w:t>
      </w:r>
    </w:p>
    <w:p w14:paraId="2C79302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158C19B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Денежные потоки проекта представлены в таблице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.</w:t>
      </w:r>
    </w:p>
    <w:p w14:paraId="50549B0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- Денежные потоки проекта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98"/>
        <w:gridCol w:w="3299"/>
        <w:gridCol w:w="3299"/>
      </w:tblGrid>
      <w:tr w14:paraId="6F8425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" w:hRule="atLeast"/>
        </w:trPr>
        <w:tc>
          <w:tcPr>
            <w:tcW w:w="3298" w:type="dxa"/>
          </w:tcPr>
          <w:p w14:paraId="1FFB898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Период (год), Т</w:t>
            </w:r>
          </w:p>
          <w:p w14:paraId="78E2B2C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3299" w:type="dxa"/>
          </w:tcPr>
          <w:p w14:paraId="2D63DF7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Первоначальны затраты, IC,</w:t>
            </w:r>
          </w:p>
          <w:p w14:paraId="186246D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тыс. руб.</w:t>
            </w:r>
          </w:p>
        </w:tc>
        <w:tc>
          <w:tcPr>
            <w:tcW w:w="3299" w:type="dxa"/>
          </w:tcPr>
          <w:p w14:paraId="09ED9B9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Денежный поток, тыс. руб.</w:t>
            </w:r>
          </w:p>
          <w:p w14:paraId="44AFB48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</w:tr>
      <w:tr w14:paraId="6FD7BF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33A93C7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</w:t>
            </w:r>
          </w:p>
        </w:tc>
        <w:tc>
          <w:tcPr>
            <w:tcW w:w="3299" w:type="dxa"/>
          </w:tcPr>
          <w:p w14:paraId="1C1AF08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11200</w:t>
            </w:r>
          </w:p>
        </w:tc>
        <w:tc>
          <w:tcPr>
            <w:tcW w:w="3299" w:type="dxa"/>
          </w:tcPr>
          <w:p w14:paraId="5005806D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7600 </w:t>
            </w:r>
          </w:p>
        </w:tc>
      </w:tr>
      <w:tr w14:paraId="47489A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7A6C5EF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2</w:t>
            </w:r>
          </w:p>
        </w:tc>
        <w:tc>
          <w:tcPr>
            <w:tcW w:w="3299" w:type="dxa"/>
          </w:tcPr>
          <w:p w14:paraId="1BF829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3299" w:type="dxa"/>
          </w:tcPr>
          <w:p w14:paraId="6858B10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10500</w:t>
            </w:r>
          </w:p>
        </w:tc>
      </w:tr>
      <w:tr w14:paraId="446E20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0E7BD73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3</w:t>
            </w:r>
          </w:p>
        </w:tc>
        <w:tc>
          <w:tcPr>
            <w:tcW w:w="3299" w:type="dxa"/>
          </w:tcPr>
          <w:p w14:paraId="09BB653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3299" w:type="dxa"/>
          </w:tcPr>
          <w:p w14:paraId="6E109D2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12300</w:t>
            </w:r>
          </w:p>
        </w:tc>
      </w:tr>
    </w:tbl>
    <w:p w14:paraId="05523BBF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789F0B6F">
      <w:pPr>
        <w:keepNext w:val="0"/>
        <w:keepLines w:val="0"/>
        <w:widowControl/>
        <w:suppressLineNumbers w:val="0"/>
        <w:ind w:left="0" w:leftChars="0" w:firstLine="661" w:firstLineChars="235"/>
        <w:jc w:val="both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Проект № 2.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Получение лицензии GFSC (Guernsey Financial Services Commission), упрощающей доступ клиентов на зарубежные рынки. </w:t>
      </w:r>
    </w:p>
    <w:p w14:paraId="37F294A7">
      <w:pPr>
        <w:keepNext w:val="0"/>
        <w:keepLines w:val="0"/>
        <w:widowControl/>
        <w:suppressLineNumbers w:val="0"/>
        <w:ind w:left="0" w:leftChars="0" w:firstLine="658" w:firstLineChars="235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GFSC является регулирующим органом финансовой отрасли. GFSC обеспечивает нормативную базу Бейливика и практика соответствует международным стандартам и является активным участником в обсуждении международных стандартов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.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GFSC контролирует и регулирует более 2000 лицензий в банковской сфере, финансовых, страховых и инвестиционных секторах. Она делает это в соответствии со стандартами, установленными международными организациями, такими как Базельский Комитет по банковскому надзору, в Международной Ассоциации страховых Надзоров, в Международной организации комиссий по ценным бумагам и финансовым мероприятиям для борьбы с отмыванием денег. </w:t>
      </w:r>
    </w:p>
    <w:p w14:paraId="0BDBEA6E">
      <w:pPr>
        <w:keepNext w:val="0"/>
        <w:keepLines w:val="0"/>
        <w:widowControl/>
        <w:suppressLineNumbers w:val="0"/>
        <w:ind w:left="0" w:leftChars="0" w:firstLine="658" w:firstLineChars="235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GFSC использует риск-ориентированный подход к надзору лицензиатов, основанные на системе, известной как PRISM (Probability Risk and Impact SysteM) (риск, вероятность и системное воздействие). </w:t>
      </w:r>
    </w:p>
    <w:p w14:paraId="1992785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>Данные для расчетов: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</w:t>
      </w:r>
    </w:p>
    <w:p w14:paraId="4D1CF36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Размер первоначальных инвестиций в проект составляет 28 600 тыс. руб. </w:t>
      </w:r>
    </w:p>
    <w:p w14:paraId="665A3A4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Горизонт расчета - 3 года. </w:t>
      </w:r>
    </w:p>
    <w:p w14:paraId="587930F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Минимальный желаемый уровень доходности - 16%. </w:t>
      </w:r>
    </w:p>
    <w:p w14:paraId="1FDFFF6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highlight w:val="yellow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Определите самостоятельно ставку дисконтирования по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highlight w:val="none"/>
          <w:lang w:val="en-US" w:eastAsia="zh-CN" w:bidi="ar"/>
        </w:rPr>
        <w:t xml:space="preserve">формуле 1. </w:t>
      </w:r>
    </w:p>
    <w:p w14:paraId="1BB09CB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Денежные потоки проекта представлены в таблице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2.</w:t>
      </w:r>
      <w:r>
        <w:rPr>
          <w:rFonts w:ascii="Calibri" w:hAnsi="Calibri" w:eastAsia="SimSun" w:cs="Calibri"/>
          <w:color w:val="000000"/>
          <w:kern w:val="0"/>
          <w:sz w:val="22"/>
          <w:szCs w:val="22"/>
          <w:lang w:val="en-US" w:eastAsia="zh-CN" w:bidi="ar"/>
        </w:rPr>
        <w:t xml:space="preserve"> </w:t>
      </w:r>
    </w:p>
    <w:p w14:paraId="53A513F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6CE4E675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2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- Денежные потоки проекта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98"/>
        <w:gridCol w:w="3299"/>
        <w:gridCol w:w="3299"/>
      </w:tblGrid>
      <w:tr w14:paraId="2A935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" w:hRule="atLeast"/>
        </w:trPr>
        <w:tc>
          <w:tcPr>
            <w:tcW w:w="3298" w:type="dxa"/>
          </w:tcPr>
          <w:p w14:paraId="4E57FF1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Период (год), Т</w:t>
            </w:r>
          </w:p>
          <w:p w14:paraId="7EC9C03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3299" w:type="dxa"/>
          </w:tcPr>
          <w:p w14:paraId="149AC64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Первоначальны затраты, IC,</w:t>
            </w:r>
          </w:p>
          <w:p w14:paraId="7B72349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тыс. руб.</w:t>
            </w:r>
          </w:p>
        </w:tc>
        <w:tc>
          <w:tcPr>
            <w:tcW w:w="3299" w:type="dxa"/>
          </w:tcPr>
          <w:p w14:paraId="0765B83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Денежный поток, тыс. руб.</w:t>
            </w:r>
          </w:p>
          <w:p w14:paraId="02F3817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</w:tr>
      <w:tr w14:paraId="4912EE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3298" w:type="dxa"/>
          </w:tcPr>
          <w:p w14:paraId="116510E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</w:t>
            </w:r>
          </w:p>
        </w:tc>
        <w:tc>
          <w:tcPr>
            <w:tcW w:w="3299" w:type="dxa"/>
          </w:tcPr>
          <w:p w14:paraId="525D67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28600</w:t>
            </w:r>
          </w:p>
        </w:tc>
        <w:tc>
          <w:tcPr>
            <w:tcW w:w="3299" w:type="dxa"/>
          </w:tcPr>
          <w:p w14:paraId="7A953C7A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13600</w:t>
            </w:r>
          </w:p>
        </w:tc>
      </w:tr>
      <w:tr w14:paraId="2C186A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2476C07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2</w:t>
            </w:r>
          </w:p>
        </w:tc>
        <w:tc>
          <w:tcPr>
            <w:tcW w:w="3299" w:type="dxa"/>
          </w:tcPr>
          <w:p w14:paraId="007284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3299" w:type="dxa"/>
          </w:tcPr>
          <w:p w14:paraId="156989E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16500</w:t>
            </w:r>
          </w:p>
        </w:tc>
      </w:tr>
      <w:tr w14:paraId="2C59B5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2076907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3</w:t>
            </w:r>
          </w:p>
        </w:tc>
        <w:tc>
          <w:tcPr>
            <w:tcW w:w="3299" w:type="dxa"/>
          </w:tcPr>
          <w:p w14:paraId="311E471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3299" w:type="dxa"/>
          </w:tcPr>
          <w:p w14:paraId="4D0F55A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19300</w:t>
            </w:r>
          </w:p>
        </w:tc>
      </w:tr>
    </w:tbl>
    <w:p w14:paraId="60E199D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32C84848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Далее все задания выполняются для двух проектов. </w:t>
      </w:r>
    </w:p>
    <w:p w14:paraId="6BB74DF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highlight w:val="none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Заполните таблицу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3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и рассчитайте чистый дисконтированный доход проекта по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highlight w:val="none"/>
          <w:lang w:val="en-US" w:eastAsia="zh-CN" w:bidi="ar"/>
        </w:rPr>
        <w:t xml:space="preserve">формуле 2. </w:t>
      </w:r>
    </w:p>
    <w:p w14:paraId="7712455F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3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- Расчет дисконтированного дохода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8"/>
        <w:gridCol w:w="2939"/>
        <w:gridCol w:w="2939"/>
        <w:gridCol w:w="2939"/>
      </w:tblGrid>
      <w:tr w14:paraId="089DE7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" w:hRule="atLeast"/>
        </w:trPr>
        <w:tc>
          <w:tcPr>
            <w:tcW w:w="1078" w:type="dxa"/>
          </w:tcPr>
          <w:p w14:paraId="0EBED74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Период (год), Т</w:t>
            </w:r>
          </w:p>
          <w:p w14:paraId="74AE926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939" w:type="dxa"/>
          </w:tcPr>
          <w:p w14:paraId="5FE6337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Первоначальны затраты, IC,</w:t>
            </w:r>
          </w:p>
          <w:p w14:paraId="0D89D01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тыс. руб.</w:t>
            </w:r>
          </w:p>
        </w:tc>
        <w:tc>
          <w:tcPr>
            <w:tcW w:w="2939" w:type="dxa"/>
          </w:tcPr>
          <w:p w14:paraId="1A11FDB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Денежный поток</w:t>
            </w: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 </w:t>
            </w: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CF, тыс. руб.</w:t>
            </w:r>
          </w:p>
          <w:p w14:paraId="67352CD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939" w:type="dxa"/>
          </w:tcPr>
          <w:p w14:paraId="41DA6FA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Дисконтированный</w:t>
            </w:r>
          </w:p>
          <w:p w14:paraId="640D480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денежный поток, тыс. руб.</w:t>
            </w:r>
          </w:p>
          <w:p w14:paraId="63D3F55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(3/ (1+r)ᵗ)</w:t>
            </w:r>
          </w:p>
        </w:tc>
      </w:tr>
      <w:tr w14:paraId="07C3AB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078" w:type="dxa"/>
          </w:tcPr>
          <w:p w14:paraId="1C94D0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0</w:t>
            </w:r>
          </w:p>
        </w:tc>
        <w:tc>
          <w:tcPr>
            <w:tcW w:w="2939" w:type="dxa"/>
          </w:tcPr>
          <w:p w14:paraId="29433F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939" w:type="dxa"/>
          </w:tcPr>
          <w:p w14:paraId="7948B9E4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939" w:type="dxa"/>
          </w:tcPr>
          <w:p w14:paraId="62300DC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 w14:paraId="71D806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1078" w:type="dxa"/>
          </w:tcPr>
          <w:p w14:paraId="7182229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</w:t>
            </w:r>
          </w:p>
        </w:tc>
        <w:tc>
          <w:tcPr>
            <w:tcW w:w="2939" w:type="dxa"/>
          </w:tcPr>
          <w:p w14:paraId="5334FB0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939" w:type="dxa"/>
          </w:tcPr>
          <w:p w14:paraId="23494688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939" w:type="dxa"/>
          </w:tcPr>
          <w:p w14:paraId="58D53EAB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 w14:paraId="578963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8" w:type="dxa"/>
          </w:tcPr>
          <w:p w14:paraId="2416D85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2</w:t>
            </w:r>
          </w:p>
        </w:tc>
        <w:tc>
          <w:tcPr>
            <w:tcW w:w="2939" w:type="dxa"/>
          </w:tcPr>
          <w:p w14:paraId="7A5C954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939" w:type="dxa"/>
          </w:tcPr>
          <w:p w14:paraId="11EDA1A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939" w:type="dxa"/>
          </w:tcPr>
          <w:p w14:paraId="6BEC95A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 w14:paraId="3187C1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78" w:type="dxa"/>
          </w:tcPr>
          <w:p w14:paraId="47C4B8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3</w:t>
            </w:r>
          </w:p>
        </w:tc>
        <w:tc>
          <w:tcPr>
            <w:tcW w:w="2939" w:type="dxa"/>
          </w:tcPr>
          <w:p w14:paraId="319FF35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939" w:type="dxa"/>
          </w:tcPr>
          <w:p w14:paraId="3876080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939" w:type="dxa"/>
          </w:tcPr>
          <w:p w14:paraId="54B6E13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</w:tbl>
    <w:p w14:paraId="34A9D8AE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3ED8546B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NPV = ? </w:t>
      </w:r>
    </w:p>
    <w:p w14:paraId="11299D8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658" w:firstLineChars="235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Рассчитайте внутреннюю норму рентабельности (IRR) по проекту. </w:t>
      </w:r>
    </w:p>
    <w:p w14:paraId="2ACBB7C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Заполните таблицу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4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, на основании которой рассчитайте дисконтированный и простой периоды окупаемости инвестиций. </w:t>
      </w:r>
    </w:p>
    <w:p w14:paraId="1A44AD4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7627D5A5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4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- Расчет дисконтированного срока окупаемости 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5"/>
        <w:gridCol w:w="1996"/>
        <w:gridCol w:w="2448"/>
        <w:gridCol w:w="2268"/>
        <w:gridCol w:w="2229"/>
      </w:tblGrid>
      <w:tr w14:paraId="097A7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3" w:hRule="atLeast"/>
        </w:trPr>
        <w:tc>
          <w:tcPr>
            <w:tcW w:w="955" w:type="dxa"/>
          </w:tcPr>
          <w:p w14:paraId="6E3F04E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Период (год), Т</w:t>
            </w:r>
          </w:p>
          <w:p w14:paraId="7F303C3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1996" w:type="dxa"/>
          </w:tcPr>
          <w:p w14:paraId="6A79330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Первоначальны затраты, IC,</w:t>
            </w:r>
          </w:p>
          <w:p w14:paraId="2569BB5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тыс. руб.</w:t>
            </w:r>
          </w:p>
        </w:tc>
        <w:tc>
          <w:tcPr>
            <w:tcW w:w="2448" w:type="dxa"/>
          </w:tcPr>
          <w:p w14:paraId="32AEF72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Денежный поток</w:t>
            </w: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 </w:t>
            </w: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CF, </w:t>
            </w:r>
          </w:p>
          <w:p w14:paraId="30297DE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тыс. руб.</w:t>
            </w:r>
          </w:p>
          <w:p w14:paraId="068586D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268" w:type="dxa"/>
          </w:tcPr>
          <w:p w14:paraId="6F9CAE7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Дисконтированный</w:t>
            </w:r>
          </w:p>
          <w:p w14:paraId="69AE889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денежный поток, </w:t>
            </w:r>
          </w:p>
          <w:p w14:paraId="2F031D6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тыс. руб.</w:t>
            </w:r>
          </w:p>
        </w:tc>
        <w:tc>
          <w:tcPr>
            <w:tcW w:w="2229" w:type="dxa"/>
          </w:tcPr>
          <w:p w14:paraId="6BD1FD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Дисконтированный денежный поток</w:t>
            </w:r>
          </w:p>
          <w:p w14:paraId="79A87B9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нарастающим итогом, тыс. руб.</w:t>
            </w:r>
          </w:p>
        </w:tc>
      </w:tr>
      <w:tr w14:paraId="57980F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955" w:type="dxa"/>
          </w:tcPr>
          <w:p w14:paraId="24778AE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0</w:t>
            </w:r>
          </w:p>
        </w:tc>
        <w:tc>
          <w:tcPr>
            <w:tcW w:w="1996" w:type="dxa"/>
          </w:tcPr>
          <w:p w14:paraId="78198EA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448" w:type="dxa"/>
          </w:tcPr>
          <w:p w14:paraId="5CD7661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68" w:type="dxa"/>
          </w:tcPr>
          <w:p w14:paraId="1D0003D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29" w:type="dxa"/>
          </w:tcPr>
          <w:p w14:paraId="506F14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 w14:paraId="20FF24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55" w:type="dxa"/>
          </w:tcPr>
          <w:p w14:paraId="77645AD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1</w:t>
            </w:r>
          </w:p>
        </w:tc>
        <w:tc>
          <w:tcPr>
            <w:tcW w:w="1996" w:type="dxa"/>
          </w:tcPr>
          <w:p w14:paraId="25F09AF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448" w:type="dxa"/>
          </w:tcPr>
          <w:p w14:paraId="4B9DE38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68" w:type="dxa"/>
          </w:tcPr>
          <w:p w14:paraId="3E056B3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29" w:type="dxa"/>
          </w:tcPr>
          <w:p w14:paraId="6D60DD9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 w14:paraId="1A7AB5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</w:tcPr>
          <w:p w14:paraId="3C0BC8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2</w:t>
            </w:r>
          </w:p>
        </w:tc>
        <w:tc>
          <w:tcPr>
            <w:tcW w:w="1996" w:type="dxa"/>
          </w:tcPr>
          <w:p w14:paraId="4F7F832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448" w:type="dxa"/>
          </w:tcPr>
          <w:p w14:paraId="3962673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68" w:type="dxa"/>
          </w:tcPr>
          <w:p w14:paraId="56773D3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29" w:type="dxa"/>
          </w:tcPr>
          <w:p w14:paraId="4C71C74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  <w:tr w14:paraId="04B43A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5" w:type="dxa"/>
          </w:tcPr>
          <w:p w14:paraId="10241F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  <w:t>3</w:t>
            </w:r>
          </w:p>
        </w:tc>
        <w:tc>
          <w:tcPr>
            <w:tcW w:w="1996" w:type="dxa"/>
          </w:tcPr>
          <w:p w14:paraId="068C5F2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en-US" w:eastAsia="zh-CN" w:bidi="ar"/>
              </w:rPr>
            </w:pPr>
          </w:p>
        </w:tc>
        <w:tc>
          <w:tcPr>
            <w:tcW w:w="2448" w:type="dxa"/>
          </w:tcPr>
          <w:p w14:paraId="6DDDBF0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68" w:type="dxa"/>
          </w:tcPr>
          <w:p w14:paraId="542A338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  <w:tc>
          <w:tcPr>
            <w:tcW w:w="2229" w:type="dxa"/>
          </w:tcPr>
          <w:p w14:paraId="14D86BB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vertAlign w:val="baseline"/>
                <w:lang w:val="ru-RU" w:eastAsia="zh-CN" w:bidi="ar"/>
              </w:rPr>
            </w:pPr>
          </w:p>
        </w:tc>
      </w:tr>
    </w:tbl>
    <w:p w14:paraId="521B3AA3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0DB8D17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658" w:firstLineChars="235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Следует помнить, что при сравнении двух проектов, тот проектов, в котором срок окупаемости меньше, является эффективнее. </w:t>
      </w:r>
    </w:p>
    <w:p w14:paraId="5919074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658" w:firstLineChars="235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Рассчитайте индекс доходности и внутреннюю норму рентабельности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инвестиционных решений. </w:t>
      </w:r>
    </w:p>
    <w:p w14:paraId="1171FBD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658" w:firstLineChars="235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На основании выполненных вами расчетов сделайте выводы об эффективности обоих проектов. Укажите условия принятия проекта исходя из расчета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основных показателей в таблице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5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. </w:t>
      </w:r>
    </w:p>
    <w:p w14:paraId="7681B0B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676C13EE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5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- Условия принятия проекта по рассчитанным критериям 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48"/>
        <w:gridCol w:w="4948"/>
      </w:tblGrid>
      <w:tr w14:paraId="6C1465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48" w:type="dxa"/>
          </w:tcPr>
          <w:p w14:paraId="4E30B6D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  <w:lang w:val="ru-RU"/>
              </w:rPr>
              <w:t>Критерий</w:t>
            </w:r>
          </w:p>
        </w:tc>
        <w:tc>
          <w:tcPr>
            <w:tcW w:w="4948" w:type="dxa"/>
          </w:tcPr>
          <w:p w14:paraId="3063F85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  <w:lang w:val="ru-RU"/>
              </w:rPr>
              <w:t>Условия</w:t>
            </w:r>
            <w:r>
              <w:rPr>
                <w:rFonts w:hint="default" w:ascii="Times New Roman" w:hAnsi="Times New Roman" w:eastAsia="Calibri" w:cs="Times New Roman"/>
                <w:b/>
                <w:sz w:val="28"/>
                <w:szCs w:val="28"/>
                <w:vertAlign w:val="baseline"/>
                <w:lang w:val="ru-RU"/>
              </w:rPr>
              <w:t xml:space="preserve"> принятия</w:t>
            </w:r>
          </w:p>
        </w:tc>
      </w:tr>
      <w:tr w14:paraId="06340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48" w:type="dxa"/>
          </w:tcPr>
          <w:p w14:paraId="772B4A6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Индекс доходности (PI) </w:t>
            </w:r>
          </w:p>
          <w:p w14:paraId="7BC9101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</w:p>
        </w:tc>
        <w:tc>
          <w:tcPr>
            <w:tcW w:w="4948" w:type="dxa"/>
          </w:tcPr>
          <w:p w14:paraId="1C44842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PI&gt; 1 </w:t>
            </w:r>
          </w:p>
          <w:p w14:paraId="21ADB34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PI&lt; 1 </w:t>
            </w:r>
          </w:p>
          <w:p w14:paraId="129FCFE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PI = 1 </w:t>
            </w:r>
          </w:p>
        </w:tc>
      </w:tr>
      <w:tr w14:paraId="451D77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48" w:type="dxa"/>
          </w:tcPr>
          <w:p w14:paraId="5C30E43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</w:p>
          <w:p w14:paraId="6ABD8A5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Внутренняя норма </w:t>
            </w:r>
          </w:p>
          <w:p w14:paraId="7AAA6C7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рентабельности(IRR) </w:t>
            </w:r>
          </w:p>
          <w:p w14:paraId="47C26F4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</w:p>
        </w:tc>
        <w:tc>
          <w:tcPr>
            <w:tcW w:w="4948" w:type="dxa"/>
          </w:tcPr>
          <w:p w14:paraId="124740B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IRR&gt; 1 </w:t>
            </w:r>
          </w:p>
          <w:p w14:paraId="29BFC5B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IRR&lt; 1 </w:t>
            </w:r>
          </w:p>
          <w:p w14:paraId="6C7476F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IRR = 1 </w:t>
            </w:r>
          </w:p>
        </w:tc>
      </w:tr>
      <w:tr w14:paraId="678393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48" w:type="dxa"/>
          </w:tcPr>
          <w:p w14:paraId="7D951E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Срок окупаемости и </w:t>
            </w:r>
          </w:p>
          <w:p w14:paraId="7792034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дисконтированный срок </w:t>
            </w:r>
          </w:p>
          <w:p w14:paraId="4A07D85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окупаемости (PP, DPP) </w:t>
            </w:r>
          </w:p>
        </w:tc>
        <w:tc>
          <w:tcPr>
            <w:tcW w:w="4948" w:type="dxa"/>
          </w:tcPr>
          <w:p w14:paraId="670A76C0"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DPP </w:t>
            </w:r>
            <w:r>
              <w:rPr>
                <w:rFonts w:hint="default" w:ascii="Arial" w:hAnsi="Arial" w:eastAsia="SimSun" w:cs="Arial"/>
                <w:color w:val="000000"/>
                <w:kern w:val="0"/>
                <w:sz w:val="24"/>
                <w:szCs w:val="24"/>
                <w:lang w:val="en-US" w:eastAsia="zh-CN" w:bidi="ar"/>
              </w:rPr>
              <w:t>→</w:t>
            </w: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min </w:t>
            </w:r>
            <w:r>
              <w:rPr>
                <w:rFonts w:hint="default" w:ascii="Times New Roman" w:hAnsi="Times New Roman" w:eastAsia="SimSun"/>
                <w:color w:val="000000"/>
                <w:kern w:val="0"/>
                <w:sz w:val="24"/>
                <w:szCs w:val="24"/>
                <w:lang w:val="en-US" w:eastAsia="zh-CN"/>
              </w:rPr>
              <w:t xml:space="preserve"> </w:t>
            </w:r>
          </w:p>
          <w:p w14:paraId="011B394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</w:p>
        </w:tc>
      </w:tr>
      <w:tr w14:paraId="454D52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48" w:type="dxa"/>
          </w:tcPr>
          <w:p w14:paraId="72ADA57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Чистый дисконтированный доход </w:t>
            </w:r>
          </w:p>
          <w:p w14:paraId="59388EA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(NPV) </w:t>
            </w:r>
          </w:p>
        </w:tc>
        <w:tc>
          <w:tcPr>
            <w:tcW w:w="4948" w:type="dxa"/>
          </w:tcPr>
          <w:p w14:paraId="74E8F3B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NPV &gt; 1 </w:t>
            </w:r>
          </w:p>
          <w:p w14:paraId="626AA83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NPV &lt; 1 </w:t>
            </w:r>
          </w:p>
          <w:p w14:paraId="1462AB3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NPV = 1</w:t>
            </w:r>
          </w:p>
        </w:tc>
      </w:tr>
    </w:tbl>
    <w:p w14:paraId="4E848648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1289A726">
      <w:pPr>
        <w:keepNext w:val="0"/>
        <w:keepLines w:val="0"/>
        <w:widowControl/>
        <w:suppressLineNumbers w:val="0"/>
        <w:ind w:left="0" w:leftChars="0" w:firstLine="658" w:firstLineChars="235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В качестве итогового вывода приведите рассчитанные показатели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эффективности инвестиционных проектов проекта в таблице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6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и сделайте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решение о принятии/отклонении проекта. </w:t>
      </w:r>
    </w:p>
    <w:p w14:paraId="087C8DFB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6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- Выбор инвестиционного проекта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98"/>
        <w:gridCol w:w="3299"/>
        <w:gridCol w:w="3299"/>
      </w:tblGrid>
      <w:tr w14:paraId="0E976A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224C784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36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Наименование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показателя</w:t>
            </w:r>
          </w:p>
        </w:tc>
        <w:tc>
          <w:tcPr>
            <w:tcW w:w="3299" w:type="dxa"/>
          </w:tcPr>
          <w:p w14:paraId="5F453EA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36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Проект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№1</w:t>
            </w:r>
          </w:p>
        </w:tc>
        <w:tc>
          <w:tcPr>
            <w:tcW w:w="3299" w:type="dxa"/>
          </w:tcPr>
          <w:p w14:paraId="3DCCDD8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36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Проект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№2</w:t>
            </w:r>
          </w:p>
        </w:tc>
      </w:tr>
      <w:tr w14:paraId="4D18A7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08E6494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NPV </w:t>
            </w:r>
          </w:p>
        </w:tc>
        <w:tc>
          <w:tcPr>
            <w:tcW w:w="3299" w:type="dxa"/>
          </w:tcPr>
          <w:p w14:paraId="20DAA6C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  <w:tc>
          <w:tcPr>
            <w:tcW w:w="3299" w:type="dxa"/>
          </w:tcPr>
          <w:p w14:paraId="335EB78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</w:tr>
      <w:tr w14:paraId="220203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7B41DDC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PP </w:t>
            </w:r>
          </w:p>
        </w:tc>
        <w:tc>
          <w:tcPr>
            <w:tcW w:w="3299" w:type="dxa"/>
          </w:tcPr>
          <w:p w14:paraId="24F144C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  <w:tc>
          <w:tcPr>
            <w:tcW w:w="3299" w:type="dxa"/>
          </w:tcPr>
          <w:p w14:paraId="79FBCBB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</w:tr>
      <w:tr w14:paraId="3FD7EB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0D2942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DPP</w:t>
            </w:r>
          </w:p>
        </w:tc>
        <w:tc>
          <w:tcPr>
            <w:tcW w:w="3299" w:type="dxa"/>
          </w:tcPr>
          <w:p w14:paraId="01B01CF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  <w:tc>
          <w:tcPr>
            <w:tcW w:w="3299" w:type="dxa"/>
          </w:tcPr>
          <w:p w14:paraId="251539D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</w:tr>
      <w:tr w14:paraId="79B489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46FAA0C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PI </w:t>
            </w:r>
          </w:p>
        </w:tc>
        <w:tc>
          <w:tcPr>
            <w:tcW w:w="3299" w:type="dxa"/>
          </w:tcPr>
          <w:p w14:paraId="088A28C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  <w:tc>
          <w:tcPr>
            <w:tcW w:w="3299" w:type="dxa"/>
          </w:tcPr>
          <w:p w14:paraId="688E08F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</w:tr>
      <w:tr w14:paraId="36DAE7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3298" w:type="dxa"/>
          </w:tcPr>
          <w:p w14:paraId="68E5783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IRR </w:t>
            </w:r>
          </w:p>
        </w:tc>
        <w:tc>
          <w:tcPr>
            <w:tcW w:w="3299" w:type="dxa"/>
          </w:tcPr>
          <w:p w14:paraId="6C8177B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  <w:tc>
          <w:tcPr>
            <w:tcW w:w="3299" w:type="dxa"/>
          </w:tcPr>
          <w:p w14:paraId="6312B30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</w:tr>
      <w:tr w14:paraId="1882D7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98" w:type="dxa"/>
          </w:tcPr>
          <w:p w14:paraId="5537001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 xml:space="preserve">Решение о принятии/отклонении </w:t>
            </w:r>
          </w:p>
          <w:p w14:paraId="133B148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adjustRightInd/>
              <w:snapToGrid/>
              <w:spacing w:after="0" w:line="240" w:lineRule="auto"/>
              <w:jc w:val="left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проекта</w:t>
            </w:r>
          </w:p>
        </w:tc>
        <w:tc>
          <w:tcPr>
            <w:tcW w:w="6598" w:type="dxa"/>
            <w:gridSpan w:val="2"/>
          </w:tcPr>
          <w:p w14:paraId="1D14587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bidi w:val="0"/>
              <w:snapToGrid/>
              <w:spacing w:line="240" w:lineRule="auto"/>
              <w:jc w:val="center"/>
              <w:textAlignment w:val="auto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4"/>
                <w:szCs w:val="24"/>
                <w:lang w:val="en-US" w:eastAsia="zh-CN" w:bidi="ar"/>
              </w:rPr>
              <w:t>К реализации рекомендуется проект №</w:t>
            </w:r>
          </w:p>
          <w:p w14:paraId="4BB7A43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</w:rPr>
            </w:pPr>
          </w:p>
        </w:tc>
      </w:tr>
    </w:tbl>
    <w:p w14:paraId="04C6CB44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5AB65C86">
      <w:pPr>
        <w:keepNext w:val="0"/>
        <w:keepLines w:val="0"/>
        <w:widowControl/>
        <w:suppressLineNumbers w:val="0"/>
        <w:ind w:left="0" w:leftChars="0" w:firstLine="658" w:firstLineChars="235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Для выбранного вами проекта определите возможные виды рисков, их содержание и проведите их оценку. Оформите карты рисков проекта в </w:t>
      </w:r>
    </w:p>
    <w:p w14:paraId="53222C53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соответствии с таблицами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7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и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8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. </w:t>
      </w:r>
    </w:p>
    <w:p w14:paraId="288C945A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524DCAF9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Таблица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7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– Идентификация рисков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99"/>
        <w:gridCol w:w="8097"/>
      </w:tblGrid>
      <w:tr w14:paraId="1D303C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4752177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№</w:t>
            </w:r>
          </w:p>
        </w:tc>
        <w:tc>
          <w:tcPr>
            <w:tcW w:w="8097" w:type="dxa"/>
          </w:tcPr>
          <w:p w14:paraId="1074B40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Содержание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рисков</w:t>
            </w:r>
          </w:p>
        </w:tc>
      </w:tr>
      <w:tr w14:paraId="5E7C03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2816CAC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</w:t>
            </w:r>
          </w:p>
        </w:tc>
        <w:tc>
          <w:tcPr>
            <w:tcW w:w="8097" w:type="dxa"/>
          </w:tcPr>
          <w:p w14:paraId="1252C54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Макроэкономические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</w:tr>
      <w:tr w14:paraId="36DB6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19F7789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1.1</w:t>
            </w:r>
          </w:p>
        </w:tc>
        <w:tc>
          <w:tcPr>
            <w:tcW w:w="8097" w:type="dxa"/>
          </w:tcPr>
          <w:p w14:paraId="539700B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7D3BFE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75A4A7A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1.2</w:t>
            </w:r>
          </w:p>
        </w:tc>
        <w:tc>
          <w:tcPr>
            <w:tcW w:w="8097" w:type="dxa"/>
          </w:tcPr>
          <w:p w14:paraId="7E1889C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757598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3EF87D6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1.3</w:t>
            </w:r>
          </w:p>
        </w:tc>
        <w:tc>
          <w:tcPr>
            <w:tcW w:w="8097" w:type="dxa"/>
          </w:tcPr>
          <w:p w14:paraId="11E514F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501565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323B846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2</w:t>
            </w:r>
          </w:p>
        </w:tc>
        <w:tc>
          <w:tcPr>
            <w:tcW w:w="8097" w:type="dxa"/>
          </w:tcPr>
          <w:p w14:paraId="0EC5519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Социальные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</w:tr>
      <w:tr w14:paraId="09B56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60EDD84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2.1</w:t>
            </w:r>
          </w:p>
        </w:tc>
        <w:tc>
          <w:tcPr>
            <w:tcW w:w="8097" w:type="dxa"/>
          </w:tcPr>
          <w:p w14:paraId="7D80001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59CB0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339D386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2.2</w:t>
            </w:r>
          </w:p>
        </w:tc>
        <w:tc>
          <w:tcPr>
            <w:tcW w:w="8097" w:type="dxa"/>
          </w:tcPr>
          <w:p w14:paraId="2CDF440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41B03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7CEB8EF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3</w:t>
            </w:r>
          </w:p>
        </w:tc>
        <w:tc>
          <w:tcPr>
            <w:tcW w:w="8097" w:type="dxa"/>
          </w:tcPr>
          <w:p w14:paraId="3C7A2F0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Экологические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</w:tr>
      <w:tr w14:paraId="039E96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65FEDE0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3.1</w:t>
            </w:r>
          </w:p>
        </w:tc>
        <w:tc>
          <w:tcPr>
            <w:tcW w:w="8097" w:type="dxa"/>
          </w:tcPr>
          <w:p w14:paraId="704DF16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535067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55D0979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3.2</w:t>
            </w:r>
          </w:p>
        </w:tc>
        <w:tc>
          <w:tcPr>
            <w:tcW w:w="8097" w:type="dxa"/>
          </w:tcPr>
          <w:p w14:paraId="6E97D56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68E0F3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4EF1676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4</w:t>
            </w:r>
          </w:p>
        </w:tc>
        <w:tc>
          <w:tcPr>
            <w:tcW w:w="8097" w:type="dxa"/>
          </w:tcPr>
          <w:p w14:paraId="31CCEBA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Отраслевые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</w:tr>
      <w:tr w14:paraId="1C75DE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6B687BB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4.1</w:t>
            </w:r>
          </w:p>
        </w:tc>
        <w:tc>
          <w:tcPr>
            <w:tcW w:w="8097" w:type="dxa"/>
          </w:tcPr>
          <w:p w14:paraId="226341C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7B550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5C1A829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4.2</w:t>
            </w:r>
          </w:p>
        </w:tc>
        <w:tc>
          <w:tcPr>
            <w:tcW w:w="8097" w:type="dxa"/>
          </w:tcPr>
          <w:p w14:paraId="483C0C7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0BC637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1C8D91D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5</w:t>
            </w:r>
          </w:p>
        </w:tc>
        <w:tc>
          <w:tcPr>
            <w:tcW w:w="8097" w:type="dxa"/>
          </w:tcPr>
          <w:p w14:paraId="013B1BB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Риски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, связанные с конкурентами</w:t>
            </w:r>
          </w:p>
        </w:tc>
      </w:tr>
      <w:tr w14:paraId="4F01A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42012BD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5.1</w:t>
            </w:r>
          </w:p>
        </w:tc>
        <w:tc>
          <w:tcPr>
            <w:tcW w:w="8097" w:type="dxa"/>
          </w:tcPr>
          <w:p w14:paraId="3BC7BF1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22D2F1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1A21746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5.2</w:t>
            </w:r>
          </w:p>
        </w:tc>
        <w:tc>
          <w:tcPr>
            <w:tcW w:w="8097" w:type="dxa"/>
          </w:tcPr>
          <w:p w14:paraId="3B877CE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3E0CE9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6ED92F1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</w:t>
            </w:r>
          </w:p>
        </w:tc>
        <w:tc>
          <w:tcPr>
            <w:tcW w:w="8097" w:type="dxa"/>
          </w:tcPr>
          <w:p w14:paraId="1B9E7FB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Риски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, связанные с предприятием</w:t>
            </w:r>
          </w:p>
        </w:tc>
      </w:tr>
      <w:tr w14:paraId="6317B1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7FDC09B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</w:t>
            </w:r>
          </w:p>
        </w:tc>
        <w:tc>
          <w:tcPr>
            <w:tcW w:w="8097" w:type="dxa"/>
          </w:tcPr>
          <w:p w14:paraId="0446594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Технические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</w:tr>
      <w:tr w14:paraId="3CA1AE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0E38089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6.1.1</w:t>
            </w:r>
          </w:p>
        </w:tc>
        <w:tc>
          <w:tcPr>
            <w:tcW w:w="8097" w:type="dxa"/>
          </w:tcPr>
          <w:p w14:paraId="7FBFD49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1E635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4530B19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6.1.2</w:t>
            </w:r>
          </w:p>
        </w:tc>
        <w:tc>
          <w:tcPr>
            <w:tcW w:w="8097" w:type="dxa"/>
          </w:tcPr>
          <w:p w14:paraId="225CD40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3AB982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7E44829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6.1.3</w:t>
            </w:r>
          </w:p>
        </w:tc>
        <w:tc>
          <w:tcPr>
            <w:tcW w:w="8097" w:type="dxa"/>
          </w:tcPr>
          <w:p w14:paraId="5616707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183E0F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799" w:type="dxa"/>
          </w:tcPr>
          <w:p w14:paraId="518C8F2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</w:t>
            </w:r>
          </w:p>
        </w:tc>
        <w:tc>
          <w:tcPr>
            <w:tcW w:w="8097" w:type="dxa"/>
          </w:tcPr>
          <w:p w14:paraId="7915EAD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Организационные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и управленческие риски</w:t>
            </w:r>
          </w:p>
        </w:tc>
      </w:tr>
      <w:tr w14:paraId="18F69E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24C757B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6.2.1</w:t>
            </w:r>
          </w:p>
        </w:tc>
        <w:tc>
          <w:tcPr>
            <w:tcW w:w="8097" w:type="dxa"/>
          </w:tcPr>
          <w:p w14:paraId="2D72A1F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1382D5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66E836B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6.2.2</w:t>
            </w:r>
          </w:p>
        </w:tc>
        <w:tc>
          <w:tcPr>
            <w:tcW w:w="8097" w:type="dxa"/>
          </w:tcPr>
          <w:p w14:paraId="312A21C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  <w:tr w14:paraId="4859F4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99" w:type="dxa"/>
          </w:tcPr>
          <w:p w14:paraId="55FECD0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6.2.3</w:t>
            </w:r>
          </w:p>
        </w:tc>
        <w:tc>
          <w:tcPr>
            <w:tcW w:w="8097" w:type="dxa"/>
          </w:tcPr>
          <w:p w14:paraId="039B409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</w:pPr>
          </w:p>
        </w:tc>
      </w:tr>
    </w:tbl>
    <w:p w14:paraId="2B7ECF1A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21D7D936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  <w:r>
        <w:rPr>
          <w:rFonts w:ascii="Times New Roman" w:hAnsi="Times New Roman" w:eastAsia="Calibri" w:cs="Times New Roman"/>
          <w:b/>
          <w:sz w:val="28"/>
          <w:szCs w:val="28"/>
          <w:lang w:val="ru-RU"/>
        </w:rPr>
        <w:t>Сделайте</w:t>
      </w:r>
      <w:r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  <w:t xml:space="preserve"> выводы по таблице 7.</w:t>
      </w:r>
    </w:p>
    <w:p w14:paraId="4AE9723C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left"/>
        <w:textAlignment w:val="auto"/>
        <w:rPr>
          <w:rFonts w:ascii="Times New Roman" w:hAnsi="Times New Roman" w:eastAsia="Calibri" w:cs="Times New Roman"/>
          <w:b w:val="0"/>
          <w:bCs/>
          <w:sz w:val="28"/>
          <w:szCs w:val="28"/>
          <w:lang w:val="ru-RU"/>
        </w:rPr>
      </w:pPr>
    </w:p>
    <w:p w14:paraId="40C3C46E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left"/>
        <w:textAlignment w:val="auto"/>
        <w:rPr>
          <w:rFonts w:hint="default" w:ascii="Times New Roman" w:hAnsi="Times New Roman" w:eastAsia="Calibri" w:cs="Times New Roman"/>
          <w:b w:val="0"/>
          <w:bCs/>
          <w:sz w:val="28"/>
          <w:szCs w:val="28"/>
          <w:lang w:val="ru-RU"/>
        </w:rPr>
      </w:pPr>
      <w:r>
        <w:rPr>
          <w:rFonts w:ascii="Times New Roman" w:hAnsi="Times New Roman" w:eastAsia="Calibri" w:cs="Times New Roman"/>
          <w:b w:val="0"/>
          <w:bCs/>
          <w:sz w:val="28"/>
          <w:szCs w:val="28"/>
          <w:lang w:val="ru-RU"/>
        </w:rPr>
        <w:t>Таблица</w:t>
      </w:r>
      <w:r>
        <w:rPr>
          <w:rFonts w:hint="default" w:ascii="Times New Roman" w:hAnsi="Times New Roman" w:eastAsia="Calibri" w:cs="Times New Roman"/>
          <w:b w:val="0"/>
          <w:bCs/>
          <w:sz w:val="28"/>
          <w:szCs w:val="28"/>
          <w:lang w:val="ru-RU"/>
        </w:rPr>
        <w:t xml:space="preserve"> 8 - Анализ и оценка риска</w:t>
      </w:r>
    </w:p>
    <w:tbl>
      <w:tblPr>
        <w:tblStyle w:val="14"/>
        <w:tblW w:w="982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6"/>
        <w:gridCol w:w="1936"/>
        <w:gridCol w:w="685"/>
        <w:gridCol w:w="810"/>
        <w:gridCol w:w="925"/>
        <w:gridCol w:w="897"/>
        <w:gridCol w:w="1196"/>
        <w:gridCol w:w="1220"/>
        <w:gridCol w:w="1392"/>
      </w:tblGrid>
      <w:tr w14:paraId="6437F6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29CEC59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№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4DAD707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Содержание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рисков</w:t>
            </w:r>
          </w:p>
        </w:tc>
        <w:tc>
          <w:tcPr>
            <w:tcW w:w="3317" w:type="dxa"/>
            <w:gridSpan w:val="4"/>
          </w:tcPr>
          <w:p w14:paraId="3B065B2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На что может повлиять</w:t>
            </w:r>
          </w:p>
        </w:tc>
        <w:tc>
          <w:tcPr>
            <w:tcW w:w="1196" w:type="dxa"/>
            <w:vMerge w:val="restart"/>
          </w:tcPr>
          <w:p w14:paraId="718C4A9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Оценка влияния</w:t>
            </w:r>
          </w:p>
        </w:tc>
        <w:tc>
          <w:tcPr>
            <w:tcW w:w="1220" w:type="dxa"/>
            <w:vMerge w:val="restart"/>
          </w:tcPr>
          <w:p w14:paraId="3C84E32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Вероят-ность</w:t>
            </w:r>
          </w:p>
        </w:tc>
        <w:tc>
          <w:tcPr>
            <w:tcW w:w="1392" w:type="dxa"/>
            <w:vMerge w:val="restart"/>
          </w:tcPr>
          <w:p w14:paraId="17DDD2E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Величина риска</w:t>
            </w:r>
          </w:p>
        </w:tc>
      </w:tr>
      <w:tr w14:paraId="50AEE4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49F3C7A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61009E7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Макроэконо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-</w:t>
            </w: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мические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  <w:tc>
          <w:tcPr>
            <w:tcW w:w="685" w:type="dxa"/>
          </w:tcPr>
          <w:p w14:paraId="682862B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срок</w:t>
            </w:r>
          </w:p>
        </w:tc>
        <w:tc>
          <w:tcPr>
            <w:tcW w:w="810" w:type="dxa"/>
          </w:tcPr>
          <w:p w14:paraId="3E3497A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Стои-мость</w:t>
            </w:r>
          </w:p>
        </w:tc>
        <w:tc>
          <w:tcPr>
            <w:tcW w:w="925" w:type="dxa"/>
          </w:tcPr>
          <w:p w14:paraId="1480710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Содер-жание</w:t>
            </w:r>
          </w:p>
        </w:tc>
        <w:tc>
          <w:tcPr>
            <w:tcW w:w="897" w:type="dxa"/>
          </w:tcPr>
          <w:p w14:paraId="0C96068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b w:val="0"/>
                <w:bCs/>
                <w:sz w:val="24"/>
                <w:szCs w:val="24"/>
                <w:vertAlign w:val="baseline"/>
                <w:lang w:val="ru-RU"/>
              </w:rPr>
              <w:t>Качес-тво</w:t>
            </w:r>
          </w:p>
        </w:tc>
        <w:tc>
          <w:tcPr>
            <w:tcW w:w="1196" w:type="dxa"/>
            <w:vMerge w:val="continue"/>
          </w:tcPr>
          <w:p w14:paraId="446B977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  <w:vMerge w:val="continue"/>
          </w:tcPr>
          <w:p w14:paraId="47E6BC8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  <w:vMerge w:val="continue"/>
          </w:tcPr>
          <w:p w14:paraId="667D0A1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28DB81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11AF386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78E0789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2C2F446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61D7A2A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1D072FD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3D291CF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30E4E39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274F093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1178D76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39974A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087F5C8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050AAAA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4AB4572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7EA8B9C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4DCF74E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4625E39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5D73F6E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1C02B4B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0C9D1CD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12594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09D3A80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1.3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6940B4D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331BA06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7463FC6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7E8EF81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61FA58B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5EC92CD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03435DB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31ACBA9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0B95EE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455E6A6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3147059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Социальные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  <w:tc>
          <w:tcPr>
            <w:tcW w:w="685" w:type="dxa"/>
          </w:tcPr>
          <w:p w14:paraId="4C7A55D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3BEDBFA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71CB34C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42440F6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7CA2D1C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696F7F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2F68CE2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7B42A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69BC005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2.1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7854379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59614E6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52B8571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101692A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674BF54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298E87F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14F6E40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5A25019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7C09D2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7B5D1B8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2.2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4586004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23FDCE3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098DB69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2EE330F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3676944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12E074B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49225FF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12117DE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5327F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590C838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3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6DC3C8C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Экологические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  <w:tc>
          <w:tcPr>
            <w:tcW w:w="685" w:type="dxa"/>
          </w:tcPr>
          <w:p w14:paraId="02D78CB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4D6E222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412598E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70F9876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6EEE633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2B4A7D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3FEE450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543691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0271E9E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3.1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01EEA77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68B1214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5450F69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1A6A800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0FAA799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57F22D7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269879A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06DC600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07662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46C78FE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3.2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46F6E80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54BADFF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7D1EFE1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0F15794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544E8CD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26BF8A4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CB3206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11FB22E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1DF3E0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067934B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4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77C5ED3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Отраслевые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  <w:tc>
          <w:tcPr>
            <w:tcW w:w="685" w:type="dxa"/>
          </w:tcPr>
          <w:p w14:paraId="755203E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016CD0F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065916D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337E1F2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6B894B2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3B29357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5099592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034EB5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0B589EB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4.1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1CC2841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5B1109A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75A3EC0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06729C0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12A6692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47F0F1C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1A0E8C2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72B3679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6F78F4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42546DC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4.2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00597AB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0A56953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66D6247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344E0AB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04F947D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67BC8E3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30304F6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349BC5A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78E5B7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4978B6F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5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667E0DD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Риски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, связанные с конкурентами</w:t>
            </w:r>
          </w:p>
        </w:tc>
        <w:tc>
          <w:tcPr>
            <w:tcW w:w="685" w:type="dxa"/>
          </w:tcPr>
          <w:p w14:paraId="6A37539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4A1956A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398380F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7F06290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7A9FC70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03B8DF7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73EA367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53276D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5D08D04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5.1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5CF419C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1D407CD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4E6CEE7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2ED67C9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22DB9C1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4CA3F3E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6EA4848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30BB9BF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0E6C6E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087AB2D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5.2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05C577A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381D478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26BBED2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00544D4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143945D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04AC6EA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2A55041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690E054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6727E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3B25925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0B2E2AF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Риски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, связанные с предприятием</w:t>
            </w:r>
          </w:p>
        </w:tc>
        <w:tc>
          <w:tcPr>
            <w:tcW w:w="685" w:type="dxa"/>
          </w:tcPr>
          <w:p w14:paraId="2B93CD7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10220F5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238D378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5F83836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1C08496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1FE5CC8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4DE766A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037145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282F36F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5C5CD91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Технические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риски</w:t>
            </w:r>
          </w:p>
        </w:tc>
        <w:tc>
          <w:tcPr>
            <w:tcW w:w="685" w:type="dxa"/>
          </w:tcPr>
          <w:p w14:paraId="5150A8F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56CB6F9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61C76F0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4D58CA6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2282FB3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0633E6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0149729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419CFA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7049D06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082AFDF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3D0DABD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402D171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6B6DF6C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5C1ED89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618F433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3A51D1F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35ECEFF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067207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1D1B74F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696FB75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13003CC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29AFB32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43B3A78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1DDE1C9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197877C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0076F9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7980F79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191C06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54D42D3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6.1.3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23A4915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4C000D9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1C0D66B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39771E3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3696288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0F61FD9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2C4BCD6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168391C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44F2EF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6369756F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1A55797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Организацион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-</w:t>
            </w:r>
            <w:r>
              <w:rPr>
                <w:rFonts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ные</w:t>
            </w: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 xml:space="preserve"> и управленчес-кие риски</w:t>
            </w:r>
          </w:p>
        </w:tc>
        <w:tc>
          <w:tcPr>
            <w:tcW w:w="685" w:type="dxa"/>
          </w:tcPr>
          <w:p w14:paraId="4C28468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039D0BE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10A5AC3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33ABDC3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2454BA01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7C4DCEAA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0B4D467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51DF28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15E3804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6.2.1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7BD2282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5E6AD8C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1305C0A5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174F321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4DABDBC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230B6AA4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F67B94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588D6FC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6E4C96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355BCDC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6.2.2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76BDEB0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6148BEE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7F44E7C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242F4DA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2BE5637B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3A2E9FA6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7A5C714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1B8B1BB9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  <w:tr w14:paraId="746E6E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6" w:type="dxa"/>
            <w:shd w:val="clear" w:color="auto" w:fill="auto"/>
            <w:vAlign w:val="top"/>
          </w:tcPr>
          <w:p w14:paraId="3960DA20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/>
              </w:rPr>
              <w:t>6.2.3</w:t>
            </w:r>
          </w:p>
        </w:tc>
        <w:tc>
          <w:tcPr>
            <w:tcW w:w="1936" w:type="dxa"/>
            <w:shd w:val="clear" w:color="auto" w:fill="auto"/>
            <w:vAlign w:val="top"/>
          </w:tcPr>
          <w:p w14:paraId="6BDC8CF3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eastAsia="Calibri" w:cs="Times New Roman"/>
                <w:b/>
                <w:sz w:val="24"/>
                <w:szCs w:val="24"/>
                <w:vertAlign w:val="baseline"/>
                <w:lang w:val="ru-RU" w:eastAsia="en-US" w:bidi="ar-SA"/>
              </w:rPr>
            </w:pPr>
          </w:p>
        </w:tc>
        <w:tc>
          <w:tcPr>
            <w:tcW w:w="685" w:type="dxa"/>
          </w:tcPr>
          <w:p w14:paraId="5D874E17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10" w:type="dxa"/>
          </w:tcPr>
          <w:p w14:paraId="11C087A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925" w:type="dxa"/>
          </w:tcPr>
          <w:p w14:paraId="04637BE2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897" w:type="dxa"/>
          </w:tcPr>
          <w:p w14:paraId="4BB0BAAD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196" w:type="dxa"/>
          </w:tcPr>
          <w:p w14:paraId="0A683D5C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220" w:type="dxa"/>
          </w:tcPr>
          <w:p w14:paraId="50B85F78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392" w:type="dxa"/>
          </w:tcPr>
          <w:p w14:paraId="06A276CE">
            <w:pPr>
              <w:keepNext w:val="0"/>
              <w:keepLines w:val="0"/>
              <w:pageBreakBefore w:val="0"/>
              <w:widowControl/>
              <w:tabs>
                <w:tab w:val="left" w:pos="993"/>
              </w:tabs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/>
              <w:spacing w:after="0" w:line="240" w:lineRule="auto"/>
              <w:jc w:val="left"/>
              <w:textAlignment w:val="auto"/>
              <w:rPr>
                <w:rFonts w:hint="default" w:ascii="Times New Roman" w:hAnsi="Times New Roman" w:eastAsia="Calibri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</w:pPr>
          </w:p>
        </w:tc>
      </w:tr>
    </w:tbl>
    <w:p w14:paraId="27AFD727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left"/>
        <w:textAlignment w:val="auto"/>
        <w:rPr>
          <w:rFonts w:hint="default" w:ascii="Times New Roman" w:hAnsi="Times New Roman" w:eastAsia="Calibri" w:cs="Times New Roman"/>
          <w:b w:val="0"/>
          <w:bCs/>
          <w:sz w:val="28"/>
          <w:szCs w:val="28"/>
          <w:lang w:val="ru-RU"/>
        </w:rPr>
      </w:pPr>
    </w:p>
    <w:p w14:paraId="2D21692C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  <w:r>
        <w:rPr>
          <w:rFonts w:ascii="Times New Roman" w:hAnsi="Times New Roman" w:eastAsia="Calibri" w:cs="Times New Roman"/>
          <w:b/>
          <w:sz w:val="28"/>
          <w:szCs w:val="28"/>
          <w:lang w:val="ru-RU"/>
        </w:rPr>
        <w:t>Сделайте</w:t>
      </w:r>
      <w:r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  <w:t xml:space="preserve"> выводы по таблице 7.</w:t>
      </w:r>
    </w:p>
    <w:p w14:paraId="0A1B48E5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both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4CA9C7B6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793EEA7E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179B06CA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  <w:r>
        <w:drawing>
          <wp:inline distT="0" distB="0" distL="114300" distR="114300">
            <wp:extent cx="5443220" cy="3718560"/>
            <wp:effectExtent l="0" t="0" r="12700" b="0"/>
            <wp:docPr id="3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1"/>
                    <pic:cNvPicPr>
                      <a:picLocks noChangeAspect="1"/>
                    </pic:cNvPicPr>
                  </pic:nvPicPr>
                  <pic:blipFill>
                    <a:blip r:embed="rId10"/>
                    <a:srcRect l="33864" t="25335" r="10644" b="8525"/>
                    <a:stretch>
                      <a:fillRect/>
                    </a:stretch>
                  </pic:blipFill>
                  <pic:spPr>
                    <a:xfrm>
                      <a:off x="0" y="0"/>
                      <a:ext cx="544322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92F55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554A57A9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  <w:r>
        <w:drawing>
          <wp:inline distT="0" distB="0" distL="114300" distR="114300">
            <wp:extent cx="5507990" cy="4188460"/>
            <wp:effectExtent l="0" t="0" r="8890" b="2540"/>
            <wp:docPr id="4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2"/>
                    <pic:cNvPicPr>
                      <a:picLocks noChangeAspect="1"/>
                    </pic:cNvPicPr>
                  </pic:nvPicPr>
                  <pic:blipFill>
                    <a:blip r:embed="rId11"/>
                    <a:srcRect l="36468" t="27062" r="15315" b="15010"/>
                    <a:stretch>
                      <a:fillRect/>
                    </a:stretch>
                  </pic:blipFill>
                  <pic:spPr>
                    <a:xfrm>
                      <a:off x="0" y="0"/>
                      <a:ext cx="5507990" cy="418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6E3CE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52BC9792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68370AFE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349A8E5E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0C82CCA7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66A16C12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0A8619FD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13678F03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  <w:r>
        <w:drawing>
          <wp:inline distT="0" distB="0" distL="114300" distR="114300">
            <wp:extent cx="5521325" cy="2915285"/>
            <wp:effectExtent l="0" t="0" r="10795" b="10795"/>
            <wp:docPr id="5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3"/>
                    <pic:cNvPicPr>
                      <a:picLocks noChangeAspect="1"/>
                    </pic:cNvPicPr>
                  </pic:nvPicPr>
                  <pic:blipFill>
                    <a:blip r:embed="rId12"/>
                    <a:srcRect l="34484" t="33915" r="19531" b="22910"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91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F99A8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  <w:r>
        <w:drawing>
          <wp:inline distT="0" distB="0" distL="114300" distR="114300">
            <wp:extent cx="6377940" cy="3559175"/>
            <wp:effectExtent l="0" t="0" r="7620" b="6985"/>
            <wp:docPr id="6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4"/>
                    <pic:cNvPicPr>
                      <a:picLocks noChangeAspect="1"/>
                    </pic:cNvPicPr>
                  </pic:nvPicPr>
                  <pic:blipFill>
                    <a:blip r:embed="rId13"/>
                    <a:srcRect l="37274" t="41705" r="16679" b="12622"/>
                    <a:stretch>
                      <a:fillRect/>
                    </a:stretch>
                  </pic:blipFill>
                  <pic:spPr>
                    <a:xfrm>
                      <a:off x="0" y="0"/>
                      <a:ext cx="637794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9F151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257DDFD2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01917CF2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4ACA5779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7E183B53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54AD7C7D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3DD73660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017ACB71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0D6D367A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2232A570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39DA9B25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  <w:lang w:val="ru-RU"/>
        </w:rPr>
      </w:pPr>
    </w:p>
    <w:p w14:paraId="4DAA4A7E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  <w:rPr>
          <w:rFonts w:ascii="Times New Roman" w:hAnsi="Times New Roman" w:eastAsia="Calibri" w:cs="Times New Roman"/>
          <w:b/>
          <w:sz w:val="28"/>
          <w:szCs w:val="28"/>
        </w:rPr>
      </w:pPr>
      <w:r>
        <w:rPr>
          <w:rFonts w:ascii="Times New Roman" w:hAnsi="Times New Roman" w:eastAsia="Calibri" w:cs="Times New Roman"/>
          <w:b/>
          <w:sz w:val="28"/>
          <w:szCs w:val="28"/>
          <w:lang w:val="ru-RU"/>
        </w:rPr>
        <w:t>Методические</w:t>
      </w:r>
      <w:r>
        <w:rPr>
          <w:rFonts w:hint="default" w:ascii="Times New Roman" w:hAnsi="Times New Roman" w:eastAsia="Calibri" w:cs="Times New Roman"/>
          <w:b/>
          <w:sz w:val="28"/>
          <w:szCs w:val="28"/>
          <w:lang w:val="ru-RU"/>
        </w:rPr>
        <w:t xml:space="preserve"> рекомендации по выполнению расчетного задания</w:t>
      </w:r>
    </w:p>
    <w:p w14:paraId="3296C7B9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В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еличина ставки дисконта (СД) определяется из нескольких составляющих по формуле (1): </w:t>
      </w:r>
    </w:p>
    <w:p w14:paraId="4104554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center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СД = d + r,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      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 (1)</w:t>
      </w:r>
    </w:p>
    <w:p w14:paraId="65160AD0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где d - минимальный желаемый уровень доходности; </w:t>
      </w:r>
    </w:p>
    <w:p w14:paraId="484984D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420" w:firstLineChars="150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r - степень инвестиционного риска или премия за риск. </w:t>
      </w:r>
    </w:p>
    <w:p w14:paraId="54A47C9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612ECEF3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Чистый дисконтированный доход ЧДД (NPV) определяется по формуле (2): </w:t>
      </w:r>
    </w:p>
    <w:p w14:paraId="1DD848B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NPV = ∑CFi / (1+ r)ᶥ - ∑ICi / (1+ r)ᶥ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    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(2), </w:t>
      </w:r>
    </w:p>
    <w:p w14:paraId="20220DD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где CFi - положительный денежный поток в i – м году; </w:t>
      </w:r>
    </w:p>
    <w:p w14:paraId="7FC6A95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560" w:firstLineChars="200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ICi - инвестиции; </w:t>
      </w:r>
    </w:p>
    <w:p w14:paraId="69DDBE1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840" w:firstLineChars="300"/>
        <w:jc w:val="left"/>
        <w:textAlignment w:val="auto"/>
        <w:rPr>
          <w:rFonts w:ascii="Times New Roman" w:hAnsi="Times New Roman" w:eastAsia="Calibri" w:cs="Times New Roman"/>
          <w:b/>
          <w:sz w:val="28"/>
          <w:szCs w:val="28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r - норма дисконта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.</w:t>
      </w:r>
    </w:p>
    <w:p w14:paraId="4CC16640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Соотношение ЧДД и требуемой дисконтированной стоимости инвестиций (ДСИ) называется индексом доходности (PI), который даёт дисконтированную норму прибыли и определяется по формуле (3): </w:t>
      </w:r>
    </w:p>
    <w:p w14:paraId="5726B50C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center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PI =∑CFi / (1+ r)ᶥ / ∑ICi / (1+ r)ᶥ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      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(3) </w:t>
      </w:r>
    </w:p>
    <w:p w14:paraId="38F365A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Показатель индекса доходности отражает доходы, полученные за весь срок жизни инвестиционного проекта на 1 руб. вложенных средств. Показатель доходности также может быть использован не только для сравнительной оценки, но и в качестве критериального при принятии инвестиционного проекта к реализации. </w:t>
      </w:r>
    </w:p>
    <w:p w14:paraId="456327E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Очевидно, что если PI&gt; 1, то проект следует принять; </w:t>
      </w:r>
    </w:p>
    <w:p w14:paraId="7120FDE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ind w:firstLine="2380" w:firstLineChars="850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PI&lt; 1, то проект следует отвергнуть; </w:t>
      </w:r>
    </w:p>
    <w:p w14:paraId="44370B73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ind w:firstLine="2380" w:firstLineChars="850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PI = 1, то проект ни прибыльный, ни убыточный. </w:t>
      </w:r>
    </w:p>
    <w:p w14:paraId="2394076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Чем дальше показатель PI от единицы, тем меньше вероятность того, что при неблагоприятных условиях реализации проекта проект станет убыточным. </w:t>
      </w:r>
    </w:p>
    <w:p w14:paraId="1B538486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ind w:left="0" w:leftChars="0" w:firstLine="658" w:firstLineChars="235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Сравнивая показатели NPVи PI, следует обратить внимание на то, что результаты оценки с их помощью эффективности инвестиций находятся в прямой зависимости: с ростом абсолютного значения чистого дисконтированного дохода возрастает и значение индекса рентабельности и наоборот. Более того, при нулевом значении чистого дисконтированного дохода индекс рентабельности всегда будет равен единице. При проведении сравнительной оценки следует рассматривать оба показателя, они позволяют инвестору с разных сторон оценивать эффективность инвестиций; </w:t>
      </w:r>
    </w:p>
    <w:p w14:paraId="5321D846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  <w:rPr>
          <w:rFonts w:hint="default"/>
          <w:lang w:val="ru-RU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Срок окупаемости (Ток) - период времени, в течение которого первоначальные инвестиции проекта возместятся суммарными результатами его осуществления. Данный показатель определяется по следующей формуле(4)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:</w:t>
      </w:r>
    </w:p>
    <w:p w14:paraId="30B869C3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center"/>
        <w:textAlignment w:val="auto"/>
      </w:pPr>
      <w:r>
        <w:drawing>
          <wp:inline distT="0" distB="0" distL="114300" distR="114300">
            <wp:extent cx="2598420" cy="472440"/>
            <wp:effectExtent l="0" t="0" r="7620" b="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9842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(4)</w:t>
      </w:r>
    </w:p>
    <w:p w14:paraId="34FB6C93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738108F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где IC (Invest Capital) – инвестиционный капитал, первоначальные затраты инвестора в объект вложения; </w:t>
      </w:r>
    </w:p>
    <w:p w14:paraId="48FA729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ind w:firstLine="700" w:firstLineChars="250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CF (Cash Flow) – денежный поток, который создается объектом инвестиций; </w:t>
      </w:r>
    </w:p>
    <w:p w14:paraId="56A0CBB8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ind w:left="0" w:leftChars="0" w:firstLine="658" w:firstLineChars="235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r – ставка дисконтирования; </w:t>
      </w:r>
    </w:p>
    <w:p w14:paraId="298BF3C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ind w:left="0" w:leftChars="0" w:firstLine="658" w:firstLineChars="235"/>
        <w:jc w:val="left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t – период оценки получаемого денежного потока. </w:t>
      </w:r>
    </w:p>
    <w:p w14:paraId="576ABBB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napToGrid/>
        <w:spacing w:line="240" w:lineRule="auto"/>
        <w:jc w:val="both"/>
        <w:textAlignment w:val="auto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Длительный период окупаемости означает, что соотношение между годовыми чистыми потоками реальных денег и начальными инвестициями относительно неблагоприятное. Если рассчитанный срок окупаемости меньше максимально приемлемого, то проект принимается, если нет - отвергается. </w:t>
      </w:r>
    </w:p>
    <w:p w14:paraId="2F5D270B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both"/>
        <w:textAlignment w:val="auto"/>
        <w:rPr>
          <w:rFonts w:ascii="Times New Roman" w:hAnsi="Times New Roman" w:eastAsia="Calibri" w:cs="Times New Roman"/>
          <w:b/>
          <w:sz w:val="28"/>
          <w:szCs w:val="28"/>
        </w:rPr>
      </w:pPr>
    </w:p>
    <w:p w14:paraId="7C08DF28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Нормативно-правовые акты </w:t>
      </w:r>
    </w:p>
    <w:p w14:paraId="55FCCCE6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1. Федеральный закон от 25.02.1999 N 39-ФЗ "Об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инвестиционной деятельности в Российской Федерации, осуществляемой в форме капитальных вложений". </w:t>
      </w:r>
    </w:p>
    <w:p w14:paraId="3E32FAC9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2. Федеральный закон Российской Федерации «Об акционерных обществах»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№ 208-ФЗ от 26.12.95 г. (в редакции последующих законов). </w:t>
      </w:r>
    </w:p>
    <w:p w14:paraId="55F28C64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3. Федеральный закон от 09.07.1999 N 160-ФЗ "Об иностранных инвестициях в Российской Федерации" </w:t>
      </w:r>
    </w:p>
    <w:p w14:paraId="2BCB6EFC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4. Методические рекомендации по оценке эффективности инвестиционных </w:t>
      </w:r>
    </w:p>
    <w:p w14:paraId="55CE8F46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проектов (Вторая редакция, исправленная и дополненная) (утв. Минэкономики РФ, Минфином РФ и Госстроем РФ от 21 июня 1999 г. N ВК 477). </w:t>
      </w:r>
    </w:p>
    <w:p w14:paraId="1934A5F6">
      <w:pPr>
        <w:keepNext w:val="0"/>
        <w:keepLines w:val="0"/>
        <w:pageBreakBefore w:val="0"/>
        <w:widowControl/>
        <w:tabs>
          <w:tab w:val="left" w:pos="993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0" w:line="240" w:lineRule="auto"/>
        <w:jc w:val="both"/>
        <w:textAlignment w:val="auto"/>
        <w:rPr>
          <w:rFonts w:ascii="Times New Roman" w:hAnsi="Times New Roman" w:eastAsia="Calibri" w:cs="Times New Roman"/>
          <w:b/>
          <w:sz w:val="28"/>
          <w:szCs w:val="28"/>
        </w:rPr>
      </w:pPr>
    </w:p>
    <w:p w14:paraId="374242D0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Основная литература </w:t>
      </w:r>
    </w:p>
    <w:p w14:paraId="3CFA7691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5. Бабук И. М. Экономика предприятия: учеб. пособие для студентов технических специальностей / И. М. Бабук. – М.: ИВЦ Минфина, 20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6. — 327 с. </w:t>
      </w:r>
    </w:p>
    <w:p w14:paraId="3E57EF2C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6. </w:t>
      </w:r>
      <w:r>
        <w:rPr>
          <w:rFonts w:hint="default" w:ascii="Times New Roman" w:hAnsi="Times New Roman" w:eastAsia="SimSun" w:cs="Times New Roman"/>
          <w:color w:val="000000"/>
          <w:kern w:val="0"/>
          <w:sz w:val="26"/>
          <w:szCs w:val="26"/>
          <w:lang w:val="en-US" w:eastAsia="zh-CN" w:bidi="ar"/>
        </w:rPr>
        <w:t>Брусов П.Н. Современные корпоратиные финансы и инвестиции: Монография / П.Н. Брусов, Т.В. Филатова, Н.П. Орехова; Финуниверситет. – М.: Кнорус. - 20</w:t>
      </w:r>
      <w:r>
        <w:rPr>
          <w:rFonts w:hint="default" w:ascii="Times New Roman" w:hAnsi="Times New Roman" w:eastAsia="SimSun" w:cs="Times New Roman"/>
          <w:color w:val="000000"/>
          <w:kern w:val="0"/>
          <w:sz w:val="26"/>
          <w:szCs w:val="26"/>
          <w:lang w:val="ru-RU" w:eastAsia="zh-CN" w:bidi="ar"/>
        </w:rPr>
        <w:t>2</w:t>
      </w:r>
      <w:r>
        <w:rPr>
          <w:rFonts w:hint="default" w:ascii="Times New Roman" w:hAnsi="Times New Roman" w:eastAsia="SimSun" w:cs="Times New Roman"/>
          <w:color w:val="000000"/>
          <w:kern w:val="0"/>
          <w:sz w:val="26"/>
          <w:szCs w:val="26"/>
          <w:lang w:val="en-US" w:eastAsia="zh-CN" w:bidi="ar"/>
        </w:rPr>
        <w:t xml:space="preserve">4. – 520 с. </w:t>
      </w:r>
    </w:p>
    <w:p w14:paraId="00A70596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7. Бухалков М. И. Внутрифирменное планирование: учебник для вузов по экон. напр. и спец. / М.И. Бухалков. - М.: Инфра-М, 20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8. – 400 с. </w:t>
      </w:r>
    </w:p>
    <w:p w14:paraId="1EC58830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8. Гончаров В. И. Технология и инструменты эффективного управления предприятием / В. И. Гончаров. - М.: НИУ, 20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9. - 160 с. </w:t>
      </w:r>
    </w:p>
    <w:p w14:paraId="0D667E73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9. Крылов Э.И. Анализ эффективности инвестиционной и инновационной деятельности предприятия: учебн. пособие / Э.И. Крылов, В. М. Власова, И.В. Жукова. – М.: «Финансы и статистика», 20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2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3. – 608 с.10.Корчагин Ю.А.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10.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Инвестиции и инвестиционный анализ: учебник/ Ю.А. Корчагин. И.П. Маличенко. – Ростов-на-Дону: Феникс, 20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2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0. – 605 с. </w:t>
      </w:r>
    </w:p>
    <w:p w14:paraId="04FACEDE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p w14:paraId="285B5781">
      <w:pPr>
        <w:keepNext w:val="0"/>
        <w:keepLines w:val="0"/>
        <w:widowControl/>
        <w:suppressLineNumbers w:val="0"/>
        <w:jc w:val="left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Дополнительная литература </w:t>
      </w:r>
    </w:p>
    <w:p w14:paraId="07384E35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.Ковалев В.В. Оценка инвестиционных проектов / В.В. Ковалев. – СПб.: Питер, 2016. </w:t>
      </w:r>
    </w:p>
    <w:p w14:paraId="74D5D816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2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.Мыльник В.В. Инвестиционный менеджмент: учебное пособие / В.В. Мыльник. - М.: Проект, 20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2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2. – 272 с. </w:t>
      </w:r>
    </w:p>
    <w:p w14:paraId="13FB9106">
      <w:pPr>
        <w:keepNext w:val="0"/>
        <w:keepLines w:val="0"/>
        <w:widowControl/>
        <w:suppressLineNumbers w:val="0"/>
        <w:jc w:val="both"/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p w14:paraId="2CCF8D39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Электронные ресурсы </w:t>
      </w:r>
    </w:p>
    <w:p w14:paraId="0CDF8FE0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3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.Сайт компании ОАО "ИК "АЙ ТИ ИНВЕСТ"» [Электронный ресурс]. - </w:t>
      </w:r>
    </w:p>
    <w:p w14:paraId="502B42B8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Режим доступа: www.itinvest.ru/ </w:t>
      </w:r>
    </w:p>
    <w:p w14:paraId="7799AE08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4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.GFSC [Электронный ресурс]. -Режим доступа: https://www.gfsc.gg/</w:t>
      </w:r>
    </w:p>
    <w:p w14:paraId="3A8AA9A5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eastAsia="Calibri" w:cs="Times New Roman"/>
          <w:b/>
          <w:sz w:val="28"/>
          <w:szCs w:val="28"/>
        </w:rPr>
      </w:pPr>
    </w:p>
    <w:p w14:paraId="48B530F1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5AB8679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303C5A8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721F2AD5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78E2AAEB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25757D94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673D93A1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33003E54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27FC9EE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376866E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4447D840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eastAsia="Calibri" w:cs="Times New Roman"/>
          <w:b/>
          <w:sz w:val="28"/>
          <w:szCs w:val="28"/>
        </w:rPr>
      </w:pPr>
    </w:p>
    <w:p w14:paraId="22FAC0E8"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b/>
          <w:sz w:val="28"/>
          <w:szCs w:val="28"/>
        </w:rPr>
        <w:t>Перечень примерных контрольных вопросов для проведения экзамена</w:t>
      </w:r>
    </w:p>
    <w:p w14:paraId="466E2F7A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1.Экономическая сущность и значение инвестиций.</w:t>
      </w:r>
    </w:p>
    <w:p w14:paraId="113A137F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2.Классификация инвестиционных ресурсов и инвестиций.</w:t>
      </w:r>
    </w:p>
    <w:p w14:paraId="272278A5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3.Участники инвестиционного процесса и их характеристика.</w:t>
      </w:r>
    </w:p>
    <w:p w14:paraId="54CDDB0D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4.Инвестиционная привлекательность отраслей, регионов, предприятия.</w:t>
      </w:r>
    </w:p>
    <w:p w14:paraId="6605CC81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5.Инвестиционная стратегия и инвестиционная политика.</w:t>
      </w:r>
    </w:p>
    <w:p w14:paraId="187E115C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6.Сущность, цели и задачи инвестиционного менеджмента.</w:t>
      </w:r>
    </w:p>
    <w:p w14:paraId="5F35450C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7.Реальные инвестиции предприятия и особенности их осуществления.</w:t>
      </w:r>
    </w:p>
    <w:p w14:paraId="6614E9B4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8.Формы реального инвестирования и их характеристика.</w:t>
      </w:r>
    </w:p>
    <w:p w14:paraId="5CCD47F8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9.Основные этапы процесса управления реальными инвестициями предприятия.</w:t>
      </w:r>
    </w:p>
    <w:p w14:paraId="72C525EC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10.Инвестиционные проекты и их классификация.</w:t>
      </w:r>
    </w:p>
    <w:p w14:paraId="6858C734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11.Фазы развития инвестиционного проекта.</w:t>
      </w:r>
    </w:p>
    <w:p w14:paraId="411CF272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12.Прединвестиционные исследования, их необходимость.</w:t>
      </w:r>
    </w:p>
    <w:p w14:paraId="0286F3C7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13.Бизнес – план инвестиционного проекта.</w:t>
      </w:r>
    </w:p>
    <w:p w14:paraId="4827D3A2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14.Понятие инвестиционных рисков и их виды.</w:t>
      </w:r>
    </w:p>
    <w:p w14:paraId="317074C8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15.Идентификация и оценка рисков.</w:t>
      </w:r>
    </w:p>
    <w:p w14:paraId="3AC293D8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16.Управление инвестиционными рисками.</w:t>
      </w:r>
    </w:p>
    <w:p w14:paraId="517EFACE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17.Основные принципы и этапы финансовой оценки инвестиционного проекта.</w:t>
      </w:r>
    </w:p>
    <w:p w14:paraId="5B314811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18.Этапы оценки коммерческой эффективности проекта и их характеристика.</w:t>
      </w:r>
    </w:p>
    <w:p w14:paraId="53BC864F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19.Инвестиционный проект и его денежные потоки.</w:t>
      </w:r>
    </w:p>
    <w:p w14:paraId="6DBC3D2F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20.Оценка финансовых активов.</w:t>
      </w:r>
    </w:p>
    <w:p w14:paraId="7086F7A3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21.Классификация денежных потоков инвестиционного проекта и принципы их оценки.</w:t>
      </w:r>
    </w:p>
    <w:p w14:paraId="2EF3F960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22.Методы и критерии оценки эффективности инвестиционного проекта.</w:t>
      </w:r>
    </w:p>
    <w:p w14:paraId="74734489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23.Понятие источников финансирования и их классификация.</w:t>
      </w:r>
    </w:p>
    <w:p w14:paraId="5A45145D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24.Цена капитала и ее взаимосвязь с инвестиционными рисками и стоимостью предприятия.</w:t>
      </w:r>
    </w:p>
    <w:p w14:paraId="464589F9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25.Принятие решений о структуре источников финансирования инвестиций.</w:t>
      </w:r>
    </w:p>
    <w:p w14:paraId="001D4983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26. Методы оценки риска инвестиционных проектов.</w:t>
      </w:r>
    </w:p>
    <w:p w14:paraId="322E7CA3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27. Анализ инвестиционных проектов в условиях инфляции.</w:t>
      </w:r>
    </w:p>
    <w:p w14:paraId="4D40812B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28.Методы и формы финансирования инвестиционных проектов.</w:t>
      </w:r>
    </w:p>
    <w:p w14:paraId="7BE85C0C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29. Источники финансирования инвестиционных проектов в реальные активы.</w:t>
      </w:r>
    </w:p>
    <w:p w14:paraId="65C5FDAC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30.Понятие и экономическая сущность стоимости капитала.</w:t>
      </w:r>
    </w:p>
    <w:p w14:paraId="759B2D98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31.Модели определения стоимости собственного капитала.</w:t>
      </w:r>
    </w:p>
    <w:p w14:paraId="113FE8FB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32. Критерии выбора оптимальной структуры капитала инвестиционного проекта.</w:t>
      </w:r>
    </w:p>
    <w:p w14:paraId="1AFCFB57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33. Формирование портфеля инвестиционных проектов.</w:t>
      </w:r>
    </w:p>
    <w:p w14:paraId="3339C66B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34. Виды портфелей ценных бумаг, методы отбора активов и управления ПЦБ.</w:t>
      </w:r>
    </w:p>
    <w:p w14:paraId="7E38AFAD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35. Особенность портфеля реальных инвестиций и принципы его формирования.</w:t>
      </w:r>
    </w:p>
    <w:p w14:paraId="22B232C8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36. Этапы формирования портфеля инвестиционных проектов.</w:t>
      </w:r>
    </w:p>
    <w:p w14:paraId="6A911DA2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37. Цели создания и разновидности портфелей ценных бумаг.</w:t>
      </w:r>
    </w:p>
    <w:p w14:paraId="7FBC61B3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38. Лизинг, виды и преимущества. Субъекты и объекты лизинговых сделок.</w:t>
      </w:r>
    </w:p>
    <w:p w14:paraId="29255B74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39. Проектное финансирование, основные стороны, принципы их взаимодействия (по объемам финансирования, распределению рисков и прибыли проектов).</w:t>
      </w:r>
    </w:p>
    <w:p w14:paraId="644DE8A7">
      <w:pPr>
        <w:spacing w:after="0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40.Венчурное финансирование. Бизнес—ангелы. Роль государства и частного капитала в развитии инновационных наукоемких продуктов.</w:t>
      </w:r>
    </w:p>
    <w:p w14:paraId="27EA8F73">
      <w:pPr>
        <w:spacing w:after="0" w:line="312" w:lineRule="auto"/>
        <w:ind w:right="-185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tbl>
      <w:tblPr>
        <w:tblStyle w:val="3"/>
        <w:tblW w:w="0" w:type="auto"/>
        <w:tblInd w:w="0" w:type="dxa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646"/>
        <w:gridCol w:w="2223"/>
        <w:gridCol w:w="3063"/>
        <w:gridCol w:w="2169"/>
        <w:gridCol w:w="1321"/>
      </w:tblGrid>
      <w:tr w14:paraId="0A55F33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D3D3D3"/>
            <w:tcMar>
              <w:left w:w="34" w:type="dxa"/>
              <w:right w:w="34" w:type="dxa"/>
            </w:tcMar>
          </w:tcPr>
          <w:p w14:paraId="0C649770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14:paraId="27E4B31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B7C5CFC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  <w:lang w:val="en-US"/>
              </w:rPr>
              <w:t>6.1. Рекомендуемая литература</w:t>
            </w:r>
          </w:p>
        </w:tc>
      </w:tr>
      <w:tr w14:paraId="5DF2B9DC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FB182E0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  <w:lang w:val="en-US"/>
              </w:rPr>
              <w:t>6.1.1. Основная литература</w:t>
            </w:r>
          </w:p>
        </w:tc>
      </w:tr>
      <w:tr w14:paraId="794B887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0B6D1B9">
            <w:pPr>
              <w:rPr>
                <w:rFonts w:eastAsiaTheme="minorEastAsia"/>
                <w:lang w:val="en-US"/>
              </w:rPr>
            </w:pP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368F12A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Авторы, составители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CBF46C0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Заглавие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4286ED9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Издательство, год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7103C36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Количество</w:t>
            </w:r>
          </w:p>
        </w:tc>
      </w:tr>
      <w:tr w14:paraId="69F6DFD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8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0DC9F86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Л1.1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6D39F31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Лукасевич Игорь Ярославович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6DA7239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Инвестиции: Учебник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5832445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Москва: Вузовский учебник, 2018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081B9047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308312DC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DC9599D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Л1.2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E6D2815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Шарп Уильям, Александер Гордон Дж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AD932A6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Инвестиции: Учебник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C02D92E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Москва: ООО "Научно- издательский центр ИНФРА-М", 2019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78FEF9F6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40A007E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8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F137461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Л1.3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5440C0C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Тогузова, И.З.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6D15005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Финансовый и инвестиционный менеджмент: учебник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160FE15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Москва: Прометей, 2018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4171F259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5E16A78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3A5E194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  <w:lang w:val="en-US"/>
              </w:rPr>
              <w:t>6.1.2. Дополнительная литература</w:t>
            </w:r>
          </w:p>
        </w:tc>
      </w:tr>
      <w:tr w14:paraId="339748F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0DD0BAE">
            <w:pPr>
              <w:rPr>
                <w:rFonts w:eastAsiaTheme="minorEastAsia"/>
                <w:lang w:val="en-US"/>
              </w:rPr>
            </w:pP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B501705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Авторы, составители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18E855B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Заглавие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97369A6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Издательство, год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370EE2E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Количество</w:t>
            </w:r>
          </w:p>
        </w:tc>
      </w:tr>
      <w:tr w14:paraId="02C50C42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8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F8655A2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Л2.1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696EA4A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Васильева, Н.В.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B40EF80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Инвестиционный менеджмент: учебное пособие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CEA5879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Йошкар-Ола: ПГТУ, 2018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47C877C1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4B5B527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17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602EECE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Л2.2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5F99858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Чернова, О.А.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6421DE1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Инвестиционный менеджмент: учебное пособие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489D38D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Ростов-на-Дону|Таганрог: Издательство Южного федерального университета, 2018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3A16CB63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6A76F10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7C3D7BC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Л2.3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C084D81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Лавровский, Б.Л., Позднякова, И.В.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E916A16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Инвестиционный менеджмент: Учебное пособие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9351847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Новосибирск: Новосибирский государственный технический университет, 2019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4D691C37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1A1B570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exact"/>
        </w:trPr>
        <w:tc>
          <w:tcPr>
            <w:tcW w:w="646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5EA3491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Л2.4</w:t>
            </w:r>
          </w:p>
        </w:tc>
        <w:tc>
          <w:tcPr>
            <w:tcW w:w="222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299C935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Яцко, В.А.</w:t>
            </w:r>
          </w:p>
        </w:tc>
        <w:tc>
          <w:tcPr>
            <w:tcW w:w="306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B03AAA1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Инвестиционный менеджмент: практикум: учебное пособие</w:t>
            </w:r>
          </w:p>
        </w:tc>
        <w:tc>
          <w:tcPr>
            <w:tcW w:w="2169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4533508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НГТУ, 2019</w:t>
            </w:r>
          </w:p>
        </w:tc>
        <w:tc>
          <w:tcPr>
            <w:tcW w:w="1321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65439FB2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</w:tbl>
    <w:p w14:paraId="68CB8F55">
      <w:pPr>
        <w:rPr>
          <w:rFonts w:eastAsiaTheme="minorEastAsia"/>
          <w:sz w:val="0"/>
          <w:szCs w:val="0"/>
          <w:lang w:val="en-US"/>
        </w:rPr>
      </w:pPr>
    </w:p>
    <w:tbl>
      <w:tblPr>
        <w:tblStyle w:val="3"/>
        <w:tblW w:w="0" w:type="auto"/>
        <w:tblInd w:w="0" w:type="dxa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562"/>
        <w:gridCol w:w="56"/>
        <w:gridCol w:w="1942"/>
        <w:gridCol w:w="3185"/>
        <w:gridCol w:w="2244"/>
        <w:gridCol w:w="1433"/>
      </w:tblGrid>
      <w:tr w14:paraId="7F11C58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E662468">
            <w:pPr>
              <w:rPr>
                <w:rFonts w:eastAsiaTheme="minorEastAsia"/>
                <w:lang w:val="en-US"/>
              </w:rPr>
            </w:pPr>
          </w:p>
        </w:tc>
        <w:tc>
          <w:tcPr>
            <w:tcW w:w="199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8059393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Авторы, составители</w:t>
            </w:r>
          </w:p>
        </w:tc>
        <w:tc>
          <w:tcPr>
            <w:tcW w:w="31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0915002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Заглавие</w:t>
            </w:r>
          </w:p>
        </w:tc>
        <w:tc>
          <w:tcPr>
            <w:tcW w:w="224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C8D36B5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Издательство, год</w:t>
            </w:r>
          </w:p>
        </w:tc>
        <w:tc>
          <w:tcPr>
            <w:tcW w:w="143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37848D6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Количество</w:t>
            </w:r>
          </w:p>
        </w:tc>
      </w:tr>
      <w:tr w14:paraId="53F07C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454866A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Л2.5</w:t>
            </w:r>
          </w:p>
        </w:tc>
        <w:tc>
          <w:tcPr>
            <w:tcW w:w="199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75C7F01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Лавровский, Б.Л., Позднякова, И.В.</w:t>
            </w:r>
          </w:p>
        </w:tc>
        <w:tc>
          <w:tcPr>
            <w:tcW w:w="31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5099169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Инвестиционный менеджмент: учебное пособие</w:t>
            </w:r>
          </w:p>
        </w:tc>
        <w:tc>
          <w:tcPr>
            <w:tcW w:w="224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D1D90F5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Новосибирск: НГТУ,, 2019</w:t>
            </w:r>
          </w:p>
        </w:tc>
        <w:tc>
          <w:tcPr>
            <w:tcW w:w="143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26F6FD9D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35EEAA6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6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EA7A43A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  <w:lang w:val="en-US"/>
              </w:rPr>
              <w:t>6.1.3. Методические разработки</w:t>
            </w:r>
          </w:p>
        </w:tc>
      </w:tr>
      <w:tr w14:paraId="2BF5BF4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F6E4743">
            <w:pPr>
              <w:rPr>
                <w:rFonts w:eastAsiaTheme="minorEastAsia"/>
                <w:lang w:val="en-US"/>
              </w:rPr>
            </w:pPr>
          </w:p>
        </w:tc>
        <w:tc>
          <w:tcPr>
            <w:tcW w:w="199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62E236C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Авторы, составители</w:t>
            </w:r>
          </w:p>
        </w:tc>
        <w:tc>
          <w:tcPr>
            <w:tcW w:w="31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5236153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Заглавие</w:t>
            </w:r>
          </w:p>
        </w:tc>
        <w:tc>
          <w:tcPr>
            <w:tcW w:w="224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EA7B2C7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Издательство, год</w:t>
            </w:r>
          </w:p>
        </w:tc>
        <w:tc>
          <w:tcPr>
            <w:tcW w:w="143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9FEF50B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Количество</w:t>
            </w:r>
          </w:p>
        </w:tc>
      </w:tr>
      <w:tr w14:paraId="42B7196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BFE22CD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Л3.1</w:t>
            </w:r>
          </w:p>
        </w:tc>
        <w:tc>
          <w:tcPr>
            <w:tcW w:w="199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D3757D3">
            <w:pPr>
              <w:rPr>
                <w:rFonts w:eastAsiaTheme="minorEastAsia"/>
                <w:lang w:val="en-US"/>
              </w:rPr>
            </w:pPr>
          </w:p>
        </w:tc>
        <w:tc>
          <w:tcPr>
            <w:tcW w:w="31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0D7F402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Руководство для преподавателей по организации и планированию различных видов занятий и самостоятельной работы обучающихся в Донском государственном техническом университете: метод. указания</w:t>
            </w:r>
          </w:p>
        </w:tc>
        <w:tc>
          <w:tcPr>
            <w:tcW w:w="224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0870155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Ростов н/Д.: ИЦ ДГТУ, 2018</w:t>
            </w:r>
          </w:p>
        </w:tc>
        <w:tc>
          <w:tcPr>
            <w:tcW w:w="143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14:paraId="71F606D8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ЭБС</w:t>
            </w:r>
          </w:p>
        </w:tc>
      </w:tr>
      <w:tr w14:paraId="388F39B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6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C24F5F5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14:paraId="1929261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066DB54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Э1</w:t>
            </w:r>
          </w:p>
        </w:tc>
        <w:tc>
          <w:tcPr>
            <w:tcW w:w="886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0D2CB69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Образовательный портал ДГТУ "СКИФ".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URL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: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skif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donstu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</w:p>
        </w:tc>
      </w:tr>
      <w:tr w14:paraId="7239986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C8D031B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Э2</w:t>
            </w:r>
          </w:p>
        </w:tc>
        <w:tc>
          <w:tcPr>
            <w:tcW w:w="886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BD184BB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Федеральный образовательный портал- экономика, социология, менеджмен/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URL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ecsocman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hse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</w:p>
        </w:tc>
      </w:tr>
      <w:tr w14:paraId="101AB7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637396D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Э3</w:t>
            </w:r>
          </w:p>
        </w:tc>
        <w:tc>
          <w:tcPr>
            <w:tcW w:w="886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F4D4821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ЭБС Издательства Лань.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URL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 :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e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lanbook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com</w:t>
            </w:r>
          </w:p>
        </w:tc>
      </w:tr>
      <w:tr w14:paraId="24C47BF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562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93091BA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Э4</w:t>
            </w:r>
          </w:p>
        </w:tc>
        <w:tc>
          <w:tcPr>
            <w:tcW w:w="8860" w:type="dxa"/>
            <w:gridSpan w:val="5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BCC0F92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Сайт Администрациит Ростовской области.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URL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 :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donland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</w:p>
        </w:tc>
      </w:tr>
      <w:tr w14:paraId="457F48B8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6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1A3E0E5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  <w:lang w:val="en-US"/>
              </w:rPr>
              <w:t>6.3 Перечень информационных технологий</w:t>
            </w:r>
          </w:p>
        </w:tc>
      </w:tr>
      <w:tr w14:paraId="7C615C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6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935AF85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  <w:lang w:val="en-US"/>
              </w:rPr>
              <w:t>6.3.1 Перечень программного обеспечения</w:t>
            </w:r>
          </w:p>
        </w:tc>
      </w:tr>
      <w:tr w14:paraId="55FF1C8C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exact"/>
        </w:trPr>
        <w:tc>
          <w:tcPr>
            <w:tcW w:w="9422" w:type="dxa"/>
            <w:gridSpan w:val="6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0C81C23E">
            <w:pPr>
              <w:spacing w:after="0" w:line="240" w:lineRule="auto"/>
              <w:jc w:val="center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b/>
                <w:color w:val="000000"/>
                <w:sz w:val="19"/>
                <w:szCs w:val="19"/>
              </w:rPr>
              <w:t>6.3.2 Перечень информационных справочных систем, профессиональные базы данных</w:t>
            </w:r>
          </w:p>
        </w:tc>
      </w:tr>
      <w:tr w14:paraId="76CDDC5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7C212DA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6.3.2.1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9F80DFA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ИПС Консультант Плюс.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consultant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</w:p>
        </w:tc>
      </w:tr>
      <w:tr w14:paraId="09BE3F0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634CA68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6.3.2.2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178F294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База статистических данных Банка России.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cbr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statistics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</w:p>
        </w:tc>
      </w:tr>
      <w:tr w14:paraId="1601C37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7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7678132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6.3.2.3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1DA5E4B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База статистических данных ФСГС "Финансы России".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gks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wps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wcm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connect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rosstat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_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main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rosstat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statistics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publications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catalog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doc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_1138717651859</w:t>
            </w:r>
          </w:p>
        </w:tc>
      </w:tr>
      <w:tr w14:paraId="1762299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19F5E84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6.3.2.4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8936086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Центр раскрытия корпоративной информации Интерфакс.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e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-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disclosure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</w:p>
        </w:tc>
      </w:tr>
      <w:tr w14:paraId="168F0FB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5F7B0CDB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6.3.2.5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6EAB0FE5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Интерфакс-Спарк: Статистика.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spark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-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interfax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ru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statistics</w:t>
            </w:r>
          </w:p>
        </w:tc>
      </w:tr>
      <w:tr w14:paraId="5FF6DCE2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8B98C7A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6.3.2.6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2872F06">
            <w:pPr>
              <w:spacing w:after="0" w:line="240" w:lineRule="auto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Scientific Research. An Academic Publisher. - http://www.scirp.org</w:t>
            </w:r>
          </w:p>
        </w:tc>
      </w:tr>
      <w:tr w14:paraId="044EFD48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exact"/>
        </w:trPr>
        <w:tc>
          <w:tcPr>
            <w:tcW w:w="618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10B7572F">
            <w:pPr>
              <w:spacing w:after="0" w:line="240" w:lineRule="auto"/>
              <w:jc w:val="right"/>
              <w:rPr>
                <w:rFonts w:eastAsiaTheme="minorEastAsia"/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6.3.2.7</w:t>
            </w:r>
          </w:p>
        </w:tc>
        <w:tc>
          <w:tcPr>
            <w:tcW w:w="8804" w:type="dxa"/>
            <w:gridSpan w:val="4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39DD4061">
            <w:pPr>
              <w:spacing w:after="0" w:line="240" w:lineRule="auto"/>
              <w:rPr>
                <w:rFonts w:eastAsiaTheme="minorEastAsia"/>
                <w:sz w:val="19"/>
                <w:szCs w:val="19"/>
              </w:rPr>
            </w:pP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База данных МВФ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IMF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DATA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 xml:space="preserve">. - 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https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www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imf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org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en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 w:eastAsiaTheme="minorEastAsia"/>
                <w:color w:val="000000"/>
                <w:sz w:val="19"/>
                <w:szCs w:val="19"/>
                <w:lang w:val="en-US"/>
              </w:rPr>
              <w:t>data</w:t>
            </w:r>
          </w:p>
        </w:tc>
      </w:tr>
    </w:tbl>
    <w:p w14:paraId="6B92F028">
      <w:pPr>
        <w:spacing w:after="0" w:line="312" w:lineRule="auto"/>
        <w:ind w:right="-185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sectPr>
          <w:footerReference r:id="rId5" w:type="default"/>
          <w:footerReference r:id="rId6" w:type="even"/>
          <w:pgSz w:w="11906" w:h="16838"/>
          <w:pgMar w:top="1134" w:right="808" w:bottom="1134" w:left="1418" w:header="709" w:footer="709" w:gutter="0"/>
          <w:cols w:space="708" w:num="1"/>
          <w:titlePg/>
          <w:docGrid w:linePitch="360" w:charSpace="0"/>
        </w:sectPr>
      </w:pPr>
    </w:p>
    <w:p w14:paraId="6258591A">
      <w:pPr>
        <w:pStyle w:val="11"/>
        <w:ind w:left="0" w:leftChars="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sectPr>
      <w:headerReference r:id="rId7" w:type="default"/>
      <w:footnotePr>
        <w:numFmt w:val="chicago"/>
      </w:footnotePr>
      <w:pgSz w:w="11906" w:h="16838"/>
      <w:pgMar w:top="1134" w:right="850" w:bottom="1134" w:left="1701" w:header="708" w:footer="708" w:gutter="0"/>
      <w:cols w:space="708" w:num="1"/>
      <w:titlePg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TimesNewRoman">
    <w:altName w:val="Yu Gothic"/>
    <w:panose1 w:val="00000000000000000000"/>
    <w:charset w:val="80"/>
    <w:family w:val="auto"/>
    <w:pitch w:val="default"/>
    <w:sig w:usb0="00000000" w:usb1="00000000" w:usb2="00000010" w:usb3="00000000" w:csb0="0002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Yu Gothic">
    <w:panose1 w:val="020B04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3920EB6">
    <w:pPr>
      <w:pStyle w:val="12"/>
      <w:framePr w:wrap="around" w:vAnchor="text" w:hAnchor="margin" w:xAlign="center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2</w:t>
    </w:r>
    <w:r>
      <w:rPr>
        <w:rStyle w:val="6"/>
      </w:rPr>
      <w:fldChar w:fldCharType="end"/>
    </w:r>
  </w:p>
  <w:p w14:paraId="254F83A4">
    <w:pPr>
      <w:pStyle w:val="1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F688DC9">
    <w:pPr>
      <w:pStyle w:val="12"/>
      <w:framePr w:wrap="around" w:vAnchor="text" w:hAnchor="margin" w:xAlign="center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end"/>
    </w:r>
  </w:p>
  <w:p w14:paraId="7FD785D9">
    <w:pPr>
      <w:pStyle w:val="1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761284"/>
      <w:docPartObj>
        <w:docPartGallery w:val="autotext"/>
      </w:docPartObj>
    </w:sdtPr>
    <w:sdtContent>
      <w:p w14:paraId="0F341701">
        <w:pPr>
          <w:pStyle w:val="10"/>
          <w:jc w:val="center"/>
        </w:pPr>
        <w:r>
          <w:rPr>
            <w:rFonts w:ascii="Times New Roman" w:hAnsi="Times New Roman" w:cs="Times New Roman"/>
            <w:sz w:val="24"/>
            <w:szCs w:val="24"/>
          </w:rPr>
          <w:fldChar w:fldCharType="begin"/>
        </w:r>
        <w:r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sz w:val="24"/>
            <w:szCs w:val="24"/>
          </w:rPr>
          <w:t>4</w:t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10ABF4C9">
    <w:pPr>
      <w:pStyle w:val="1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multilevel"/>
    <w:tmpl w:val="00000001"/>
    <w:lvl w:ilvl="0" w:tentative="0">
      <w:start w:val="1"/>
      <w:numFmt w:val="decimal"/>
      <w:pStyle w:val="23"/>
      <w:lvlText w:val="%1."/>
      <w:lvlJc w:val="left"/>
      <w:pPr>
        <w:tabs>
          <w:tab w:val="left" w:pos="720"/>
        </w:tabs>
        <w:ind w:left="720" w:hanging="720"/>
      </w:pPr>
      <w:rPr>
        <w:rFonts w:cs="Times New Roman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720"/>
      </w:pPr>
    </w:lvl>
    <w:lvl w:ilvl="2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720" w:hanging="720"/>
      </w:pPr>
    </w:lvl>
    <w:lvl w:ilvl="3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864" w:hanging="864"/>
      </w:pPr>
    </w:lvl>
    <w:lvl w:ilvl="4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1008" w:hanging="1008"/>
      </w:pPr>
    </w:lvl>
    <w:lvl w:ilvl="5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1152" w:hanging="1152"/>
      </w:pPr>
    </w:lvl>
    <w:lvl w:ilvl="6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1296" w:hanging="1296"/>
      </w:pPr>
    </w:lvl>
    <w:lvl w:ilvl="7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1440" w:hanging="1440"/>
      </w:pPr>
    </w:lvl>
    <w:lvl w:ilvl="8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1584" w:hanging="1584"/>
      </w:pPr>
    </w:lvl>
  </w:abstractNum>
  <w:abstractNum w:abstractNumId="1">
    <w:nsid w:val="65025AB9"/>
    <w:multiLevelType w:val="multilevel"/>
    <w:tmpl w:val="65025AB9"/>
    <w:lvl w:ilvl="0" w:tentative="0">
      <w:start w:val="1"/>
      <w:numFmt w:val="decimal"/>
      <w:lvlText w:val="%1)"/>
      <w:lvlJc w:val="left"/>
      <w:pPr>
        <w:ind w:left="1920" w:hanging="360"/>
      </w:pPr>
      <w:rPr>
        <w:rFonts w:ascii="Times New Roman" w:hAnsi="Times New Roman" w:eastAsia="Calibri" w:cs="Times New Roman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D89796A"/>
    <w:multiLevelType w:val="singleLevel"/>
    <w:tmpl w:val="7D89796A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09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3F1"/>
    <w:rsid w:val="0001438D"/>
    <w:rsid w:val="0004038E"/>
    <w:rsid w:val="000506FF"/>
    <w:rsid w:val="00073EC7"/>
    <w:rsid w:val="0007436A"/>
    <w:rsid w:val="000A6C10"/>
    <w:rsid w:val="000B642F"/>
    <w:rsid w:val="000D0E64"/>
    <w:rsid w:val="00116229"/>
    <w:rsid w:val="0014054A"/>
    <w:rsid w:val="00177D29"/>
    <w:rsid w:val="00193A78"/>
    <w:rsid w:val="001959C1"/>
    <w:rsid w:val="001C73FA"/>
    <w:rsid w:val="001D0289"/>
    <w:rsid w:val="001D64DA"/>
    <w:rsid w:val="00217659"/>
    <w:rsid w:val="002209FF"/>
    <w:rsid w:val="00227EA6"/>
    <w:rsid w:val="00235504"/>
    <w:rsid w:val="00247ADA"/>
    <w:rsid w:val="00277442"/>
    <w:rsid w:val="00282E31"/>
    <w:rsid w:val="002848B8"/>
    <w:rsid w:val="00285906"/>
    <w:rsid w:val="002A4066"/>
    <w:rsid w:val="002E0E63"/>
    <w:rsid w:val="002F759F"/>
    <w:rsid w:val="00302507"/>
    <w:rsid w:val="00312F92"/>
    <w:rsid w:val="00315C75"/>
    <w:rsid w:val="00316FCA"/>
    <w:rsid w:val="00355F4F"/>
    <w:rsid w:val="00373196"/>
    <w:rsid w:val="00373827"/>
    <w:rsid w:val="003853A7"/>
    <w:rsid w:val="00386E5D"/>
    <w:rsid w:val="003B15CC"/>
    <w:rsid w:val="003C73AD"/>
    <w:rsid w:val="003E19E5"/>
    <w:rsid w:val="003E66BC"/>
    <w:rsid w:val="003E77F8"/>
    <w:rsid w:val="00401579"/>
    <w:rsid w:val="00417CE5"/>
    <w:rsid w:val="00470C44"/>
    <w:rsid w:val="004774EE"/>
    <w:rsid w:val="004832B5"/>
    <w:rsid w:val="004D3587"/>
    <w:rsid w:val="004D6AA6"/>
    <w:rsid w:val="004E403F"/>
    <w:rsid w:val="004F69D4"/>
    <w:rsid w:val="0051217D"/>
    <w:rsid w:val="005302E1"/>
    <w:rsid w:val="005368C5"/>
    <w:rsid w:val="0053747B"/>
    <w:rsid w:val="00537906"/>
    <w:rsid w:val="00550B27"/>
    <w:rsid w:val="00576F3E"/>
    <w:rsid w:val="00581AD9"/>
    <w:rsid w:val="005870CC"/>
    <w:rsid w:val="005B1D37"/>
    <w:rsid w:val="005D1FA4"/>
    <w:rsid w:val="005F24E0"/>
    <w:rsid w:val="0060657D"/>
    <w:rsid w:val="006254D6"/>
    <w:rsid w:val="006267EC"/>
    <w:rsid w:val="00630655"/>
    <w:rsid w:val="006748F1"/>
    <w:rsid w:val="00683336"/>
    <w:rsid w:val="006A1B0E"/>
    <w:rsid w:val="006F2743"/>
    <w:rsid w:val="007003EE"/>
    <w:rsid w:val="00712EA0"/>
    <w:rsid w:val="00736E55"/>
    <w:rsid w:val="00742FAF"/>
    <w:rsid w:val="00743F7C"/>
    <w:rsid w:val="007631B3"/>
    <w:rsid w:val="007701DF"/>
    <w:rsid w:val="007709A5"/>
    <w:rsid w:val="00792CB7"/>
    <w:rsid w:val="00816D9F"/>
    <w:rsid w:val="00875B9F"/>
    <w:rsid w:val="008C7F7E"/>
    <w:rsid w:val="008D1324"/>
    <w:rsid w:val="008E7C93"/>
    <w:rsid w:val="008F4300"/>
    <w:rsid w:val="00912B2C"/>
    <w:rsid w:val="00915A76"/>
    <w:rsid w:val="00924F0E"/>
    <w:rsid w:val="00927F40"/>
    <w:rsid w:val="00931A5A"/>
    <w:rsid w:val="0094027D"/>
    <w:rsid w:val="00971E86"/>
    <w:rsid w:val="0098151E"/>
    <w:rsid w:val="0098161B"/>
    <w:rsid w:val="00982EDA"/>
    <w:rsid w:val="00992AB6"/>
    <w:rsid w:val="00996A3E"/>
    <w:rsid w:val="009C75DC"/>
    <w:rsid w:val="009F09D8"/>
    <w:rsid w:val="009F3AF3"/>
    <w:rsid w:val="00A04124"/>
    <w:rsid w:val="00A369A7"/>
    <w:rsid w:val="00A451AF"/>
    <w:rsid w:val="00A575AD"/>
    <w:rsid w:val="00A716C5"/>
    <w:rsid w:val="00A82015"/>
    <w:rsid w:val="00A95A2D"/>
    <w:rsid w:val="00AA1884"/>
    <w:rsid w:val="00AB7037"/>
    <w:rsid w:val="00AD2DD1"/>
    <w:rsid w:val="00AD6F55"/>
    <w:rsid w:val="00AF41AB"/>
    <w:rsid w:val="00B20526"/>
    <w:rsid w:val="00B30181"/>
    <w:rsid w:val="00B44549"/>
    <w:rsid w:val="00B5101D"/>
    <w:rsid w:val="00B70668"/>
    <w:rsid w:val="00B9116D"/>
    <w:rsid w:val="00BB1802"/>
    <w:rsid w:val="00BC024C"/>
    <w:rsid w:val="00BD2679"/>
    <w:rsid w:val="00BE73D2"/>
    <w:rsid w:val="00BF573A"/>
    <w:rsid w:val="00C043A9"/>
    <w:rsid w:val="00C15240"/>
    <w:rsid w:val="00C162B2"/>
    <w:rsid w:val="00C263D8"/>
    <w:rsid w:val="00C27B9A"/>
    <w:rsid w:val="00C34E1C"/>
    <w:rsid w:val="00C4533A"/>
    <w:rsid w:val="00C94DC9"/>
    <w:rsid w:val="00CB7474"/>
    <w:rsid w:val="00CC660E"/>
    <w:rsid w:val="00CD1FD6"/>
    <w:rsid w:val="00CE1F72"/>
    <w:rsid w:val="00CE577C"/>
    <w:rsid w:val="00CF6A7A"/>
    <w:rsid w:val="00D02CEA"/>
    <w:rsid w:val="00D06091"/>
    <w:rsid w:val="00D063AF"/>
    <w:rsid w:val="00D06E33"/>
    <w:rsid w:val="00D32568"/>
    <w:rsid w:val="00D423F1"/>
    <w:rsid w:val="00D429E1"/>
    <w:rsid w:val="00D44A41"/>
    <w:rsid w:val="00D74A6A"/>
    <w:rsid w:val="00D879E8"/>
    <w:rsid w:val="00D90251"/>
    <w:rsid w:val="00DC0305"/>
    <w:rsid w:val="00DC6EF9"/>
    <w:rsid w:val="00DE1965"/>
    <w:rsid w:val="00DE3416"/>
    <w:rsid w:val="00E233C6"/>
    <w:rsid w:val="00E4351D"/>
    <w:rsid w:val="00E72FAE"/>
    <w:rsid w:val="00E82D56"/>
    <w:rsid w:val="00E83682"/>
    <w:rsid w:val="00E852F0"/>
    <w:rsid w:val="00E92FB0"/>
    <w:rsid w:val="00ED1E94"/>
    <w:rsid w:val="00EE2338"/>
    <w:rsid w:val="00F148AF"/>
    <w:rsid w:val="00F2726D"/>
    <w:rsid w:val="00F41673"/>
    <w:rsid w:val="00F867A8"/>
    <w:rsid w:val="00FA669A"/>
    <w:rsid w:val="00FD07BB"/>
    <w:rsid w:val="00FD32B0"/>
    <w:rsid w:val="10BD0F45"/>
    <w:rsid w:val="11F25A15"/>
    <w:rsid w:val="253A40F8"/>
    <w:rsid w:val="2F255585"/>
    <w:rsid w:val="66F01AB5"/>
    <w:rsid w:val="7EC04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qFormat="1" w:unhideWhenUsed="0" w:uiPriority="0" w:semiHidden="0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qFormat="1" w:unhideWhenUsed="0" w:uiPriority="0" w:semiHidden="0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otnote reference"/>
    <w:basedOn w:val="2"/>
    <w:qFormat/>
    <w:uiPriority w:val="0"/>
    <w:rPr>
      <w:vertAlign w:val="superscript"/>
    </w:rPr>
  </w:style>
  <w:style w:type="character" w:styleId="5">
    <w:name w:val="Hyperlink"/>
    <w:basedOn w:val="2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6">
    <w:name w:val="page number"/>
    <w:basedOn w:val="2"/>
    <w:qFormat/>
    <w:uiPriority w:val="0"/>
  </w:style>
  <w:style w:type="paragraph" w:styleId="7">
    <w:name w:val="Balloon Text"/>
    <w:basedOn w:val="1"/>
    <w:link w:val="25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8">
    <w:name w:val="Body Text Indent 3"/>
    <w:basedOn w:val="1"/>
    <w:link w:val="16"/>
    <w:qFormat/>
    <w:uiPriority w:val="0"/>
    <w:pPr>
      <w:spacing w:after="120" w:line="240" w:lineRule="auto"/>
      <w:ind w:left="283"/>
    </w:pPr>
    <w:rPr>
      <w:rFonts w:ascii="Times New Roman" w:hAnsi="Times New Roman" w:eastAsia="Times New Roman" w:cs="Times New Roman"/>
      <w:sz w:val="16"/>
      <w:szCs w:val="16"/>
      <w:lang w:eastAsia="ru-RU"/>
    </w:rPr>
  </w:style>
  <w:style w:type="paragraph" w:styleId="9">
    <w:name w:val="footnote text"/>
    <w:basedOn w:val="1"/>
    <w:link w:val="17"/>
    <w:qFormat/>
    <w:uiPriority w:val="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ru-RU"/>
    </w:rPr>
  </w:style>
  <w:style w:type="paragraph" w:styleId="10">
    <w:name w:val="header"/>
    <w:basedOn w:val="1"/>
    <w:link w:val="20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1">
    <w:name w:val="Body Text Indent"/>
    <w:basedOn w:val="1"/>
    <w:link w:val="19"/>
    <w:unhideWhenUsed/>
    <w:qFormat/>
    <w:uiPriority w:val="99"/>
    <w:pPr>
      <w:spacing w:after="120"/>
      <w:ind w:left="283"/>
    </w:pPr>
  </w:style>
  <w:style w:type="paragraph" w:styleId="12">
    <w:name w:val="footer"/>
    <w:basedOn w:val="1"/>
    <w:link w:val="21"/>
    <w:unhideWhenUsed/>
    <w:qFormat/>
    <w:uiPriority w:val="0"/>
    <w:pPr>
      <w:tabs>
        <w:tab w:val="center" w:pos="4677"/>
        <w:tab w:val="right" w:pos="9355"/>
      </w:tabs>
      <w:spacing w:after="0" w:line="240" w:lineRule="auto"/>
    </w:pPr>
  </w:style>
  <w:style w:type="paragraph" w:styleId="13">
    <w:name w:val="Normal (Web)"/>
    <w:basedOn w:val="1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14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Стиль2 Знак"/>
    <w:basedOn w:val="1"/>
    <w:qFormat/>
    <w:uiPriority w:val="0"/>
    <w:pPr>
      <w:keepNext/>
      <w:spacing w:after="0" w:line="360" w:lineRule="auto"/>
      <w:ind w:firstLine="709"/>
      <w:jc w:val="both"/>
      <w:outlineLvl w:val="2"/>
    </w:pPr>
    <w:rPr>
      <w:rFonts w:ascii="Times New Roman" w:hAnsi="Times New Roman" w:eastAsia="Times New Roman" w:cs="Times New Roman"/>
      <w:sz w:val="28"/>
      <w:szCs w:val="28"/>
      <w:lang w:eastAsia="ru-RU"/>
    </w:rPr>
  </w:style>
  <w:style w:type="character" w:customStyle="1" w:styleId="16">
    <w:name w:val="Основной текст с отступом 3 Знак"/>
    <w:basedOn w:val="2"/>
    <w:link w:val="8"/>
    <w:qFormat/>
    <w:uiPriority w:val="0"/>
    <w:rPr>
      <w:rFonts w:ascii="Times New Roman" w:hAnsi="Times New Roman" w:eastAsia="Times New Roman" w:cs="Times New Roman"/>
      <w:sz w:val="16"/>
      <w:szCs w:val="16"/>
      <w:lang w:eastAsia="ru-RU"/>
    </w:rPr>
  </w:style>
  <w:style w:type="character" w:customStyle="1" w:styleId="17">
    <w:name w:val="Текст сноски Знак"/>
    <w:basedOn w:val="2"/>
    <w:link w:val="9"/>
    <w:qFormat/>
    <w:uiPriority w:val="0"/>
    <w:rPr>
      <w:rFonts w:ascii="Times New Roman" w:hAnsi="Times New Roman" w:eastAsia="Times New Roman" w:cs="Times New Roman"/>
      <w:sz w:val="20"/>
      <w:szCs w:val="20"/>
      <w:lang w:eastAsia="ru-RU"/>
    </w:rPr>
  </w:style>
  <w:style w:type="paragraph" w:styleId="18">
    <w:name w:val="List Paragraph"/>
    <w:basedOn w:val="1"/>
    <w:qFormat/>
    <w:uiPriority w:val="34"/>
    <w:pPr>
      <w:ind w:left="720"/>
      <w:contextualSpacing/>
    </w:pPr>
  </w:style>
  <w:style w:type="character" w:customStyle="1" w:styleId="19">
    <w:name w:val="Основной текст с отступом Знак"/>
    <w:basedOn w:val="2"/>
    <w:link w:val="11"/>
    <w:qFormat/>
    <w:uiPriority w:val="99"/>
  </w:style>
  <w:style w:type="character" w:customStyle="1" w:styleId="20">
    <w:name w:val="Верхний колонтитул Знак"/>
    <w:basedOn w:val="2"/>
    <w:link w:val="10"/>
    <w:qFormat/>
    <w:uiPriority w:val="99"/>
  </w:style>
  <w:style w:type="character" w:customStyle="1" w:styleId="21">
    <w:name w:val="Нижний колонтитул Знак"/>
    <w:basedOn w:val="2"/>
    <w:link w:val="12"/>
    <w:qFormat/>
    <w:uiPriority w:val="0"/>
  </w:style>
  <w:style w:type="paragraph" w:customStyle="1" w:styleId="22">
    <w:name w:val="Default"/>
    <w:qFormat/>
    <w:uiPriority w:val="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 w:eastAsiaTheme="minorHAnsi"/>
      <w:color w:val="000000"/>
      <w:sz w:val="24"/>
      <w:szCs w:val="24"/>
      <w:lang w:val="ru-RU" w:eastAsia="en-US" w:bidi="ar-SA"/>
    </w:rPr>
  </w:style>
  <w:style w:type="paragraph" w:customStyle="1" w:styleId="23">
    <w:name w:val="список с точками"/>
    <w:basedOn w:val="1"/>
    <w:qFormat/>
    <w:uiPriority w:val="0"/>
    <w:pPr>
      <w:numPr>
        <w:ilvl w:val="0"/>
        <w:numId w:val="1"/>
      </w:numPr>
      <w:spacing w:after="0" w:line="312" w:lineRule="auto"/>
      <w:jc w:val="both"/>
      <w:outlineLvl w:val="0"/>
    </w:pPr>
    <w:rPr>
      <w:rFonts w:ascii="Times New Roman" w:hAnsi="Times New Roman" w:eastAsia="Times New Roman" w:cs="Times New Roman"/>
      <w:color w:val="000000"/>
      <w:kern w:val="1"/>
      <w:sz w:val="24"/>
      <w:szCs w:val="24"/>
      <w:lang w:eastAsia="ar-SA"/>
    </w:rPr>
  </w:style>
  <w:style w:type="paragraph" w:customStyle="1" w:styleId="24">
    <w:name w:val="Абзац списка1"/>
    <w:basedOn w:val="1"/>
    <w:qFormat/>
    <w:uiPriority w:val="0"/>
    <w:pPr>
      <w:tabs>
        <w:tab w:val="left" w:pos="708"/>
      </w:tabs>
      <w:ind w:left="720"/>
    </w:pPr>
    <w:rPr>
      <w:rFonts w:ascii="Calibri" w:hAnsi="Calibri" w:eastAsia="Calibri" w:cs="Calibri"/>
      <w:color w:val="000000"/>
      <w:kern w:val="1"/>
      <w:lang w:eastAsia="ar-SA"/>
    </w:rPr>
  </w:style>
  <w:style w:type="character" w:customStyle="1" w:styleId="25">
    <w:name w:val="Текст выноски Знак"/>
    <w:basedOn w:val="2"/>
    <w:link w:val="7"/>
    <w:semiHidden/>
    <w:qFormat/>
    <w:uiPriority w:val="99"/>
    <w:rPr>
      <w:rFonts w:ascii="Tahoma" w:hAnsi="Tahoma" w:cs="Tahoma"/>
      <w:sz w:val="16"/>
      <w:szCs w:val="16"/>
    </w:rPr>
  </w:style>
  <w:style w:type="character" w:customStyle="1" w:styleId="26">
    <w:name w:val="Основной текст + Полужирный"/>
    <w:basedOn w:val="2"/>
    <w:qFormat/>
    <w:uiPriority w:val="0"/>
    <w:rPr>
      <w:rFonts w:ascii="Times New Roman" w:hAnsi="Times New Roman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paragraph" w:customStyle="1" w:styleId="27">
    <w:name w:val="Основной текст1"/>
    <w:basedOn w:val="1"/>
    <w:qFormat/>
    <w:uiPriority w:val="0"/>
    <w:pPr>
      <w:widowControl w:val="0"/>
      <w:shd w:val="clear" w:color="auto" w:fill="FFFFFF"/>
      <w:spacing w:after="0" w:line="221" w:lineRule="exact"/>
      <w:jc w:val="both"/>
    </w:pPr>
    <w:rPr>
      <w:rFonts w:ascii="Times New Roman" w:hAnsi="Times New Roman" w:eastAsia="Times New Roman" w:cs="Times New Roman"/>
      <w:sz w:val="21"/>
      <w:szCs w:val="21"/>
    </w:rPr>
  </w:style>
  <w:style w:type="paragraph" w:customStyle="1" w:styleId="28">
    <w:name w:val="Основной текст4"/>
    <w:basedOn w:val="1"/>
    <w:qFormat/>
    <w:uiPriority w:val="0"/>
    <w:pPr>
      <w:widowControl w:val="0"/>
      <w:shd w:val="clear" w:color="auto" w:fill="FFFFFF"/>
      <w:spacing w:after="0" w:line="230" w:lineRule="exact"/>
      <w:jc w:val="both"/>
    </w:pPr>
    <w:rPr>
      <w:rFonts w:ascii="Times New Roman" w:hAnsi="Times New Roman" w:eastAsia="Times New Roman" w:cs="Times New Roman"/>
      <w:sz w:val="20"/>
      <w:szCs w:val="20"/>
    </w:rPr>
  </w:style>
  <w:style w:type="table" w:customStyle="1" w:styleId="29">
    <w:name w:val="Сетка таблицы1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8" Type="http://schemas.openxmlformats.org/officeDocument/2006/relationships/theme" Target="theme/theme1.xml"/><Relationship Id="rId7" Type="http://schemas.openxmlformats.org/officeDocument/2006/relationships/header" Target="header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numbering" Target="numbering.xml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95E7E68-4448-4A2E-9346-92E5D8C10F6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RePack by SPecialiST</Company>
  <Pages>20</Pages>
  <Words>1754</Words>
  <Characters>10000</Characters>
  <Lines>83</Lines>
  <Paragraphs>23</Paragraphs>
  <TotalTime>3</TotalTime>
  <ScaleCrop>false</ScaleCrop>
  <LinksUpToDate>false</LinksUpToDate>
  <CharactersWithSpaces>11731</CharactersWithSpaces>
  <Application>WPS Office_12.2.0.18283_F1E327BC-269C-435d-A152-05C5408002CA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2014-09-30T15:01:00Z</dcterms:created>
  <dc:creator>Пользователь Windows</dc:creator>
  <cp:lastModifiedBy>natal</cp:lastModifiedBy>
  <dcterms:modified xsi:type="dcterms:W3CDTF">2024-10-12T18:17:01Z</dcterms:modified>
  <cp:revision>125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12EB6E98C64B4E9DB64B192D09AC8A6E_13</vt:lpwstr>
  </property>
</Properties>
</file>